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香河县蒋辛屯镇人民政府</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highlight w:val="yellow"/>
        </w:rPr>
      </w:pPr>
    </w:p>
    <w:p>
      <w:pPr>
        <w:jc w:val="center"/>
        <w:rPr>
          <w:rFonts w:ascii="黑体" w:hAnsi="黑体" w:eastAsia="黑体" w:cs="黑体"/>
          <w:sz w:val="56"/>
          <w:szCs w:val="7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14" w:type="first"/>
          <w:footerReference r:id="rId16" w:type="first"/>
          <w:headerReference r:id="rId13" w:type="default"/>
          <w:footerReference r:id="rId15"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32"/>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val="0"/>
        <w:keepLines w:val="0"/>
        <w:widowControl/>
        <w:suppressLineNumbers w:val="0"/>
        <w:jc w:val="left"/>
      </w:pPr>
      <w:r>
        <w:rPr>
          <w:rFonts w:ascii="仿宋" w:hAnsi="仿宋" w:eastAsia="仿宋" w:cs="仿宋"/>
          <w:color w:val="000000"/>
          <w:kern w:val="0"/>
          <w:sz w:val="31"/>
          <w:szCs w:val="31"/>
          <w:lang w:val="en-US" w:eastAsia="zh-CN" w:bidi="ar"/>
        </w:rPr>
        <w:t xml:space="preserve">强化引导功能，集中精力抓好党的农村工作方针政策的落实，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抓好基层政权建设和农业产业结构调整等带有方向性和全局性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的工作，引导农村富余劳动力向小城镇转移，促进农村的现代化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建设。强化服务功能，着重在技术、信息、人才、资金等方面为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农民提供服务，为乡镇企业发展创造条件，大力培育和发展各类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经济服务实体和社会中介组织，推动农业产业化服务体系的发展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和完善，搞好产前、产中、产后服务，努力增加农民收入，减轻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财政和农民负担。强化协调功能，使事业站所以及基层工商、税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务等机构，能够围绕镇工作“一盘棋”互相配合。同时，进一步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规范镇政府和村级组织的工作职能作用。 </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2</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keepNext w:val="0"/>
              <w:keepLines w:val="0"/>
              <w:widowControl/>
              <w:suppressLineNumbers w:val="0"/>
              <w:jc w:val="center"/>
              <w:rPr>
                <w:rFonts w:ascii="仿宋_GB2312" w:hAnsi="Calibri" w:eastAsia="仿宋_GB2312" w:cs="ArialUnicodeMS"/>
                <w:kern w:val="0"/>
                <w:sz w:val="22"/>
                <w:szCs w:val="22"/>
              </w:rPr>
            </w:pPr>
            <w:r>
              <w:rPr>
                <w:rFonts w:ascii="仿宋" w:hAnsi="仿宋" w:eastAsia="仿宋" w:cs="仿宋"/>
                <w:color w:val="000000"/>
                <w:kern w:val="0"/>
                <w:sz w:val="22"/>
                <w:szCs w:val="22"/>
                <w:lang w:val="en-US" w:eastAsia="zh-CN" w:bidi="ar"/>
              </w:rPr>
              <w:t>香河县蒋辛屯镇人民政府</w:t>
            </w:r>
          </w:p>
        </w:tc>
        <w:tc>
          <w:tcPr>
            <w:tcW w:w="2445" w:type="dxa"/>
          </w:tcPr>
          <w:p>
            <w:pPr>
              <w:keepNext w:val="0"/>
              <w:keepLines w:val="0"/>
              <w:widowControl/>
              <w:suppressLineNumbers w:val="0"/>
              <w:jc w:val="center"/>
              <w:rPr>
                <w:rFonts w:ascii="仿宋_GB2312" w:hAnsi="Calibri" w:eastAsia="仿宋_GB2312" w:cs="ArialUnicodeMS"/>
                <w:kern w:val="0"/>
                <w:sz w:val="22"/>
                <w:szCs w:val="22"/>
              </w:rPr>
            </w:pPr>
            <w:r>
              <w:rPr>
                <w:rFonts w:ascii="仿宋" w:hAnsi="仿宋" w:eastAsia="仿宋" w:cs="仿宋"/>
                <w:color w:val="000000"/>
                <w:kern w:val="0"/>
                <w:sz w:val="22"/>
                <w:szCs w:val="22"/>
                <w:lang w:val="en-US" w:eastAsia="zh-CN" w:bidi="ar"/>
              </w:rPr>
              <w:t>行政单位</w:t>
            </w:r>
          </w:p>
        </w:tc>
        <w:tc>
          <w:tcPr>
            <w:tcW w:w="2665" w:type="dxa"/>
          </w:tcPr>
          <w:p>
            <w:pPr>
              <w:keepNext w:val="0"/>
              <w:keepLines w:val="0"/>
              <w:widowControl/>
              <w:suppressLineNumbers w:val="0"/>
              <w:jc w:val="center"/>
              <w:rPr>
                <w:rFonts w:ascii="仿宋_GB2312" w:hAnsi="Calibri" w:eastAsia="仿宋_GB2312" w:cs="ArialUnicodeMS"/>
                <w:kern w:val="0"/>
                <w:sz w:val="22"/>
                <w:szCs w:val="22"/>
              </w:rPr>
            </w:pPr>
            <w:r>
              <w:rPr>
                <w:rFonts w:hint="eastAsia" w:ascii="仿宋" w:hAnsi="仿宋" w:eastAsia="仿宋" w:cs="仿宋"/>
                <w:color w:val="000000"/>
                <w:kern w:val="0"/>
                <w:sz w:val="22"/>
                <w:szCs w:val="22"/>
                <w:lang w:val="en-US" w:eastAsia="zh-CN" w:bidi="ar"/>
              </w:rPr>
              <w:t xml:space="preserve"> </w:t>
            </w:r>
            <w:r>
              <w:rPr>
                <w:rFonts w:ascii="仿宋" w:hAnsi="仿宋" w:eastAsia="仿宋" w:cs="仿宋"/>
                <w:color w:val="000000"/>
                <w:kern w:val="0"/>
                <w:sz w:val="22"/>
                <w:szCs w:val="22"/>
                <w:lang w:val="en-US" w:eastAsia="zh-CN" w:bidi="ar"/>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keepNext w:val="0"/>
              <w:keepLines w:val="0"/>
              <w:widowControl/>
              <w:suppressLineNumbers w:val="0"/>
              <w:jc w:val="left"/>
              <w:rPr>
                <w:sz w:val="22"/>
                <w:szCs w:val="22"/>
              </w:rPr>
            </w:pPr>
            <w:r>
              <w:rPr>
                <w:rFonts w:ascii="仿宋" w:hAnsi="仿宋" w:eastAsia="仿宋" w:cs="仿宋"/>
                <w:color w:val="000000"/>
                <w:kern w:val="0"/>
                <w:sz w:val="22"/>
                <w:szCs w:val="22"/>
                <w:lang w:val="en-US" w:eastAsia="zh-CN" w:bidi="ar"/>
              </w:rPr>
              <w:t xml:space="preserve">河北香河新兴产业示范区管理委 </w:t>
            </w:r>
          </w:p>
          <w:p>
            <w:pPr>
              <w:keepNext w:val="0"/>
              <w:keepLines w:val="0"/>
              <w:widowControl/>
              <w:suppressLineNumbers w:val="0"/>
              <w:jc w:val="left"/>
              <w:rPr>
                <w:rFonts w:ascii="仿宋_GB2312" w:hAnsi="Calibri" w:eastAsia="仿宋_GB2312" w:cs="ArialUnicodeMS"/>
                <w:kern w:val="0"/>
                <w:sz w:val="22"/>
                <w:szCs w:val="22"/>
              </w:rPr>
            </w:pPr>
            <w:r>
              <w:rPr>
                <w:rFonts w:hint="eastAsia" w:ascii="仿宋" w:hAnsi="仿宋" w:eastAsia="仿宋" w:cs="仿宋"/>
                <w:color w:val="000000"/>
                <w:kern w:val="0"/>
                <w:sz w:val="22"/>
                <w:szCs w:val="22"/>
                <w:lang w:val="en-US" w:eastAsia="zh-CN" w:bidi="ar"/>
              </w:rPr>
              <w:t xml:space="preserve">员会 </w:t>
            </w:r>
          </w:p>
        </w:tc>
        <w:tc>
          <w:tcPr>
            <w:tcW w:w="2445" w:type="dxa"/>
          </w:tcPr>
          <w:p>
            <w:pPr>
              <w:spacing w:line="560" w:lineRule="exact"/>
              <w:jc w:val="center"/>
              <w:rPr>
                <w:rFonts w:ascii="仿宋_GB2312" w:hAnsi="Calibri" w:eastAsia="仿宋_GB2312" w:cs="ArialUnicodeMS"/>
                <w:kern w:val="0"/>
                <w:sz w:val="22"/>
                <w:szCs w:val="22"/>
              </w:rPr>
            </w:pPr>
            <w:r>
              <w:rPr>
                <w:rFonts w:ascii="仿宋" w:hAnsi="仿宋" w:eastAsia="仿宋" w:cs="仿宋"/>
                <w:color w:val="000000"/>
                <w:kern w:val="0"/>
                <w:sz w:val="22"/>
                <w:szCs w:val="22"/>
                <w:lang w:val="en-US" w:eastAsia="zh-CN" w:bidi="ar"/>
              </w:rPr>
              <w:t>行政单位</w:t>
            </w:r>
          </w:p>
        </w:tc>
        <w:tc>
          <w:tcPr>
            <w:tcW w:w="2665" w:type="dxa"/>
          </w:tcPr>
          <w:p>
            <w:pPr>
              <w:keepNext w:val="0"/>
              <w:keepLines w:val="0"/>
              <w:widowControl/>
              <w:suppressLineNumbers w:val="0"/>
              <w:jc w:val="center"/>
              <w:rPr>
                <w:rFonts w:ascii="仿宋_GB2312" w:hAnsi="Calibri" w:eastAsia="仿宋_GB2312" w:cs="ArialUnicodeMS"/>
                <w:kern w:val="0"/>
                <w:sz w:val="22"/>
                <w:szCs w:val="22"/>
              </w:rPr>
            </w:pPr>
            <w:r>
              <w:rPr>
                <w:rFonts w:ascii="仿宋" w:hAnsi="仿宋" w:eastAsia="仿宋" w:cs="仿宋"/>
                <w:color w:val="000000"/>
                <w:kern w:val="0"/>
                <w:sz w:val="22"/>
                <w:szCs w:val="22"/>
                <w:lang w:val="en-US" w:eastAsia="zh-CN" w:bidi="ar"/>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9" w:type="first"/>
          <w:headerReference r:id="rId17" w:type="default"/>
          <w:footerReference r:id="rId18"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20"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184512"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184512;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32"/>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keepNext w:val="0"/>
        <w:keepLines w:val="0"/>
        <w:widowControl/>
        <w:suppressLineNumbers w:val="0"/>
        <w:jc w:val="left"/>
      </w:pPr>
      <w:r>
        <w:rPr>
          <w:rFonts w:hint="eastAsia" w:ascii="仿宋_GB2312" w:hAnsi="Times New Roman" w:eastAsia="仿宋_GB2312" w:cs="DengXian-Regular"/>
          <w:sz w:val="32"/>
          <w:szCs w:val="32"/>
        </w:rPr>
        <w:t>本部门2019年度</w:t>
      </w:r>
      <w:r>
        <w:rPr>
          <w:rFonts w:hint="eastAsia" w:ascii="仿宋_GB2312" w:hAnsi="Times New Roman" w:eastAsia="仿宋_GB2312" w:cs="DengXian-Regular"/>
          <w:sz w:val="32"/>
          <w:szCs w:val="32"/>
          <w:lang w:eastAsia="zh-CN"/>
        </w:rPr>
        <w:t>年初结转和结余</w:t>
      </w:r>
      <w:r>
        <w:rPr>
          <w:rFonts w:hint="eastAsia" w:ascii="仿宋_GB2312" w:hAnsi="Times New Roman" w:eastAsia="仿宋_GB2312" w:cs="DengXian-Regular"/>
          <w:sz w:val="32"/>
          <w:szCs w:val="32"/>
          <w:lang w:val="en-US" w:eastAsia="zh-CN"/>
        </w:rPr>
        <w:t>37.98万元，本年</w:t>
      </w:r>
      <w:r>
        <w:rPr>
          <w:rFonts w:hint="eastAsia" w:ascii="仿宋_GB2312" w:hAnsi="Times New Roman" w:eastAsia="仿宋_GB2312" w:cs="DengXian-Regular"/>
          <w:sz w:val="32"/>
          <w:szCs w:val="32"/>
        </w:rPr>
        <w:t>收</w:t>
      </w:r>
      <w:r>
        <w:rPr>
          <w:rFonts w:hint="eastAsia" w:ascii="仿宋_GB2312" w:hAnsi="Times New Roman" w:eastAsia="仿宋_GB2312" w:cs="DengXian-Regular"/>
          <w:sz w:val="32"/>
          <w:szCs w:val="32"/>
          <w:lang w:eastAsia="zh-CN"/>
        </w:rPr>
        <w:t>入</w:t>
      </w:r>
      <w:r>
        <w:rPr>
          <w:rFonts w:hint="eastAsia" w:ascii="仿宋_GB2312" w:hAnsi="Times New Roman" w:eastAsia="仿宋_GB2312" w:cs="DengXian-Regular"/>
          <w:sz w:val="32"/>
          <w:szCs w:val="32"/>
          <w:lang w:val="en-US" w:eastAsia="zh-CN"/>
        </w:rPr>
        <w:t>133722.67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，本年支出</w:t>
      </w:r>
      <w:r>
        <w:rPr>
          <w:rFonts w:hint="eastAsia" w:ascii="仿宋_GB2312" w:hAnsi="Times New Roman" w:eastAsia="仿宋_GB2312" w:cs="DengXian-Regular"/>
          <w:sz w:val="32"/>
          <w:szCs w:val="32"/>
          <w:lang w:val="en-US" w:eastAsia="zh-CN"/>
        </w:rPr>
        <w:t>132699.46万元，用事业基金弥补收支差额0万元，结余分配0万元，年末结转和结余1061.19万元。</w:t>
      </w:r>
      <w:r>
        <w:rPr>
          <w:rFonts w:hint="eastAsia" w:ascii="仿宋_GB2312" w:hAnsi="Times New Roman" w:eastAsia="仿宋_GB2312" w:cs="DengXian-Regular"/>
          <w:sz w:val="32"/>
          <w:szCs w:val="32"/>
        </w:rPr>
        <w:t>与2018年度决算相比，收</w:t>
      </w:r>
      <w:r>
        <w:rPr>
          <w:rFonts w:hint="eastAsia" w:ascii="仿宋_GB2312" w:hAnsi="Times New Roman" w:eastAsia="仿宋_GB2312" w:cs="DengXian-Regular"/>
          <w:sz w:val="32"/>
          <w:szCs w:val="32"/>
          <w:lang w:eastAsia="zh-CN"/>
        </w:rPr>
        <w:t>入增加</w:t>
      </w:r>
      <w:r>
        <w:rPr>
          <w:rFonts w:hint="eastAsia" w:ascii="仿宋_GB2312" w:hAnsi="Times New Roman" w:eastAsia="仿宋_GB2312" w:cs="DengXian-Regular"/>
          <w:sz w:val="32"/>
          <w:szCs w:val="32"/>
          <w:lang w:val="en-US" w:eastAsia="zh-CN"/>
        </w:rPr>
        <w:t>25451.12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23.5</w:t>
      </w:r>
      <w:r>
        <w:rPr>
          <w:rFonts w:hint="eastAsia" w:ascii="仿宋_GB2312" w:hAnsi="Times New Roman" w:eastAsia="仿宋_GB2312" w:cs="DengXian-Regular"/>
          <w:sz w:val="32"/>
          <w:szCs w:val="32"/>
        </w:rPr>
        <w:t>%，主要原因</w:t>
      </w:r>
      <w:r>
        <w:rPr>
          <w:rFonts w:hint="eastAsia" w:ascii="仿宋_GB2312" w:hAnsi="Times New Roman" w:eastAsia="仿宋_GB2312" w:cs="DengXian-Regular"/>
          <w:sz w:val="32"/>
          <w:szCs w:val="32"/>
          <w:lang w:eastAsia="zh-CN"/>
        </w:rPr>
        <w:t>是增加</w:t>
      </w:r>
      <w:r>
        <w:rPr>
          <w:rFonts w:ascii="仿宋" w:hAnsi="仿宋" w:eastAsia="仿宋" w:cs="仿宋"/>
          <w:color w:val="000000"/>
          <w:kern w:val="0"/>
          <w:sz w:val="31"/>
          <w:szCs w:val="31"/>
          <w:lang w:val="en-US" w:eastAsia="zh-CN" w:bidi="ar"/>
        </w:rPr>
        <w:t>政府性基金预算财政拨款</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本年支</w:t>
      </w:r>
      <w:r>
        <w:rPr>
          <w:rFonts w:hint="eastAsia" w:ascii="仿宋" w:hAnsi="仿宋" w:eastAsia="仿宋" w:cs="仿宋"/>
          <w:color w:val="000000"/>
          <w:kern w:val="0"/>
          <w:sz w:val="31"/>
          <w:szCs w:val="31"/>
          <w:lang w:val="en-US" w:eastAsia="zh-CN" w:bidi="ar"/>
        </w:rPr>
        <w:t>出增加了 24499.95万元，增加了 22.64%，主要是增加了</w:t>
      </w:r>
      <w:r>
        <w:rPr>
          <w:rFonts w:ascii="仿宋" w:hAnsi="仿宋" w:eastAsia="仿宋" w:cs="仿宋"/>
          <w:color w:val="000000"/>
          <w:kern w:val="0"/>
          <w:sz w:val="31"/>
          <w:szCs w:val="31"/>
          <w:lang w:val="en-US" w:eastAsia="zh-CN" w:bidi="ar"/>
        </w:rPr>
        <w:t>美丽乡</w:t>
      </w:r>
      <w:r>
        <w:rPr>
          <w:rFonts w:hint="eastAsia" w:ascii="仿宋" w:hAnsi="仿宋" w:eastAsia="仿宋" w:cs="仿宋"/>
          <w:color w:val="000000"/>
          <w:kern w:val="0"/>
          <w:sz w:val="31"/>
          <w:szCs w:val="31"/>
          <w:lang w:val="en-US" w:eastAsia="zh-CN" w:bidi="ar"/>
        </w:rPr>
        <w:t>村建设支出。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val="0"/>
        <w:keepLines w:val="0"/>
        <w:widowControl/>
        <w:suppressLineNumbers w:val="0"/>
        <w:ind w:firstLine="640" w:firstLineChars="200"/>
        <w:jc w:val="left"/>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133722.67</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133722.67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ascii="仿宋" w:hAnsi="仿宋" w:eastAsia="仿宋" w:cs="仿宋"/>
          <w:color w:val="000000"/>
          <w:kern w:val="0"/>
          <w:sz w:val="31"/>
          <w:szCs w:val="31"/>
          <w:lang w:val="en-US" w:eastAsia="zh-CN" w:bidi="ar"/>
        </w:rPr>
        <w:t xml:space="preserve">如图所示： </w:t>
      </w:r>
    </w:p>
    <w:p>
      <w:pPr>
        <w:keepNext w:val="0"/>
        <w:keepLines w:val="0"/>
        <w:widowControl/>
        <w:suppressLineNumbers w:val="0"/>
        <w:jc w:val="left"/>
      </w:pPr>
      <w:r>
        <w:rPr>
          <w:rFonts w:ascii="___WRD_EMBED_SUB_39" w:hAnsi="___WRD_EMBED_SUB_39" w:eastAsia="___WRD_EMBED_SUB_39" w:cs="___WRD_EMBED_SUB_39"/>
          <w:color w:val="000000"/>
          <w:kern w:val="0"/>
          <w:sz w:val="31"/>
          <w:szCs w:val="31"/>
          <w:lang w:val="en-US" w:eastAsia="zh-CN" w:bidi="ar"/>
        </w:rPr>
        <w:t xml:space="preserve">图 </w:t>
      </w:r>
      <w:r>
        <w:rPr>
          <w:rFonts w:hint="default" w:ascii="Times New Roman" w:hAnsi="Times New Roman" w:eastAsia="宋体" w:cs="Times New Roman"/>
          <w:color w:val="000000"/>
          <w:kern w:val="0"/>
          <w:sz w:val="31"/>
          <w:szCs w:val="31"/>
          <w:lang w:val="en-US" w:eastAsia="zh-CN" w:bidi="ar"/>
        </w:rPr>
        <w:t>1</w:t>
      </w:r>
      <w:r>
        <w:rPr>
          <w:rFonts w:hint="default" w:ascii="___WRD_EMBED_SUB_39" w:hAnsi="___WRD_EMBED_SUB_39" w:eastAsia="___WRD_EMBED_SUB_39" w:cs="___WRD_EMBED_SUB_39"/>
          <w:color w:val="000000"/>
          <w:kern w:val="0"/>
          <w:sz w:val="31"/>
          <w:szCs w:val="31"/>
          <w:lang w:val="en-US" w:eastAsia="zh-CN" w:bidi="ar"/>
        </w:rPr>
        <w:t xml:space="preserve">：收入决算结构饼状图 </w:t>
      </w:r>
    </w:p>
    <w:p>
      <w:pPr>
        <w:keepNext w:val="0"/>
        <w:keepLines w:val="0"/>
        <w:widowControl/>
        <w:suppressLineNumbers w:val="0"/>
        <w:jc w:val="left"/>
        <w:rPr>
          <w:rFonts w:ascii="黑体" w:hAnsi="Calibri" w:eastAsia="黑体" w:cs="Times New Roman"/>
          <w:b/>
          <w:bCs/>
          <w:sz w:val="32"/>
          <w:szCs w:val="32"/>
        </w:rPr>
      </w:pPr>
      <w:r>
        <w:rPr>
          <w:rFonts w:ascii="黑体" w:eastAsia="黑体" w:hAnsiTheme="majorHAnsi" w:cstheme="majorBidi"/>
          <w:sz w:val="32"/>
          <w:szCs w:val="32"/>
        </w:rPr>
        <w:drawing>
          <wp:inline distT="0" distB="0" distL="0" distR="0">
            <wp:extent cx="5486400" cy="3200400"/>
            <wp:effectExtent l="4445" t="4445" r="14605" b="14605"/>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rFonts w:hint="eastAsia" w:ascii="仿宋_GB2312" w:hAnsi="Times New Roman" w:eastAsia="仿宋_GB2312" w:cs="DengXian-Regular"/>
          <w:sz w:val="32"/>
          <w:szCs w:val="32"/>
          <w:lang w:val="en-US" w:eastAsia="zh-CN"/>
        </w:rPr>
        <w:t xml:space="preserve">                                 </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132699.46</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4003.79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3.02</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128695.67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96.98</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%。如图所示：</w:t>
      </w:r>
    </w:p>
    <w:p>
      <w:pPr>
        <w:adjustRightInd w:val="0"/>
        <w:snapToGrid w:val="0"/>
        <w:spacing w:after="160" w:line="560" w:lineRule="exact"/>
        <w:jc w:val="center"/>
        <w:rPr>
          <w:rFonts w:ascii="仿宋_GB2312" w:hAnsi="Times New Roman" w:eastAsia="仿宋_GB2312" w:cs="DengXian-Regular"/>
          <w:sz w:val="32"/>
          <w:szCs w:val="32"/>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eastAsia="zh-CN"/>
        </w:rPr>
        <w:t>二</w:t>
      </w:r>
      <w:r>
        <w:rPr>
          <w:rFonts w:hint="eastAsia" w:ascii="仿宋_GB2312" w:hAnsi="Times New Roman" w:eastAsia="仿宋_GB2312" w:cs="DengXian-Regular"/>
          <w:sz w:val="28"/>
          <w:szCs w:val="28"/>
        </w:rPr>
        <w:t>：支出构成情况（按支出性质）</w:t>
      </w:r>
    </w:p>
    <w:p>
      <w:pPr>
        <w:rPr>
          <w:rFonts w:hint="eastAsia" w:ascii="黑体" w:hAnsi="Calibri" w:eastAsia="黑体" w:cs="Times New Roman"/>
          <w:sz w:val="32"/>
          <w:szCs w:val="32"/>
        </w:rPr>
      </w:pPr>
      <w:r>
        <w:rPr>
          <w:rFonts w:ascii="仿宋_GB2312" w:eastAsia="仿宋_GB2312" w:cs="DengXian-Regular"/>
          <w:sz w:val="32"/>
          <w:szCs w:val="32"/>
        </w:rPr>
        <w:drawing>
          <wp:inline distT="0" distB="0" distL="0" distR="0">
            <wp:extent cx="5581650" cy="3714750"/>
            <wp:effectExtent l="4445" t="4445" r="14605" b="14605"/>
            <wp:docPr id="74" name="图表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（一）财政拨款收支与2018 年度决算对比情况</w:t>
      </w:r>
    </w:p>
    <w:p>
      <w:pPr>
        <w:keepNext w:val="0"/>
        <w:keepLines w:val="0"/>
        <w:widowControl/>
        <w:suppressLineNumbers w:val="0"/>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133722.67</w:t>
      </w:r>
      <w:r>
        <w:rPr>
          <w:rFonts w:hint="eastAsia" w:ascii="仿宋_GB2312" w:hAnsi="Times New Roman" w:eastAsia="仿宋_GB2312" w:cs="DengXian-Regular"/>
          <w:sz w:val="32"/>
          <w:szCs w:val="32"/>
        </w:rPr>
        <w:t>万万元,比2018年度收</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25451.12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23.5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增加</w:t>
      </w:r>
      <w:r>
        <w:rPr>
          <w:rFonts w:ascii="仿宋" w:hAnsi="仿宋" w:eastAsia="仿宋" w:cs="仿宋"/>
          <w:color w:val="000000"/>
          <w:kern w:val="0"/>
          <w:sz w:val="31"/>
          <w:szCs w:val="31"/>
          <w:lang w:val="en-US" w:eastAsia="zh-CN" w:bidi="ar"/>
        </w:rPr>
        <w:t>政府性基金预算财政拨款</w:t>
      </w:r>
      <w:r>
        <w:rPr>
          <w:rFonts w:hint="eastAsia" w:ascii="仿宋_GB2312" w:hAnsi="Times New Roman" w:eastAsia="仿宋_GB2312" w:cs="DengXian-Regular"/>
          <w:sz w:val="32"/>
          <w:szCs w:val="32"/>
        </w:rPr>
        <w:t>；</w:t>
      </w:r>
      <w:r>
        <w:rPr>
          <w:rFonts w:ascii="仿宋" w:hAnsi="仿宋" w:eastAsia="仿宋" w:cs="仿宋"/>
          <w:color w:val="000000"/>
          <w:kern w:val="0"/>
          <w:sz w:val="31"/>
          <w:szCs w:val="31"/>
          <w:lang w:val="en-US" w:eastAsia="zh-CN" w:bidi="ar"/>
        </w:rPr>
        <w:t>本年支</w:t>
      </w:r>
      <w:r>
        <w:rPr>
          <w:rFonts w:hint="eastAsia" w:ascii="仿宋" w:hAnsi="仿宋" w:eastAsia="仿宋" w:cs="仿宋"/>
          <w:color w:val="000000"/>
          <w:kern w:val="0"/>
          <w:sz w:val="31"/>
          <w:szCs w:val="31"/>
          <w:lang w:val="en-US" w:eastAsia="zh-CN" w:bidi="ar"/>
        </w:rPr>
        <w:t>出增加了 24499.95万元，增加了 22.64%，主要是</w:t>
      </w:r>
      <w:r>
        <w:rPr>
          <w:rFonts w:ascii="仿宋" w:hAnsi="仿宋" w:eastAsia="仿宋" w:cs="仿宋"/>
          <w:color w:val="000000"/>
          <w:kern w:val="0"/>
          <w:sz w:val="31"/>
          <w:szCs w:val="31"/>
          <w:lang w:val="en-US" w:eastAsia="zh-CN" w:bidi="ar"/>
        </w:rPr>
        <w:t>加大土地补偿方面的</w:t>
      </w:r>
      <w:r>
        <w:rPr>
          <w:rFonts w:hint="eastAsia" w:ascii="仿宋" w:hAnsi="仿宋" w:eastAsia="仿宋" w:cs="仿宋"/>
          <w:color w:val="000000"/>
          <w:kern w:val="0"/>
          <w:sz w:val="31"/>
          <w:szCs w:val="31"/>
          <w:lang w:val="en-US" w:eastAsia="zh-CN" w:bidi="ar"/>
        </w:rPr>
        <w:t>支出。</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90634.41</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1253.2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增长</w:t>
      </w:r>
      <w:r>
        <w:rPr>
          <w:rFonts w:hint="eastAsia" w:ascii="仿宋_GB2312" w:hAnsi="Times New Roman" w:eastAsia="仿宋_GB2312" w:cs="DengXian-Regular"/>
          <w:sz w:val="32"/>
          <w:szCs w:val="32"/>
          <w:lang w:val="en-US" w:eastAsia="zh-CN"/>
        </w:rPr>
        <w:t>,1.4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增加了税源</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89611.19</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299.02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0.33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加大了美丽乡村建设。</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43088.27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24200.93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56.16</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加大美丽乡村建设</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43088.27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24200.93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56.16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加大美丽乡村建设支出</w:t>
      </w:r>
      <w:r>
        <w:rPr>
          <w:rFonts w:hint="eastAsia" w:ascii="仿宋_GB2312" w:hAnsi="Times New Roman" w:eastAsia="仿宋_GB2312" w:cs="DengXian-Regular"/>
          <w:sz w:val="32"/>
          <w:szCs w:val="32"/>
        </w:rPr>
        <w:t>。</w:t>
      </w:r>
    </w:p>
    <w:p>
      <w:pPr>
        <w:keepNext w:val="0"/>
        <w:keepLines w:val="0"/>
        <w:widowControl/>
        <w:suppressLineNumbers w:val="0"/>
        <w:jc w:val="left"/>
      </w:pPr>
      <w:r>
        <w:rPr>
          <w:rFonts w:ascii="___WRD_EMBED_SUB_39" w:hAnsi="___WRD_EMBED_SUB_39" w:eastAsia="___WRD_EMBED_SUB_39" w:cs="___WRD_EMBED_SUB_39"/>
          <w:color w:val="000000"/>
          <w:kern w:val="0"/>
          <w:sz w:val="31"/>
          <w:szCs w:val="31"/>
          <w:lang w:val="en-US" w:eastAsia="zh-CN" w:bidi="ar"/>
        </w:rPr>
        <w:t xml:space="preserve">图 </w:t>
      </w:r>
      <w:r>
        <w:rPr>
          <w:rFonts w:hint="default" w:ascii="Times New Roman" w:hAnsi="Times New Roman" w:eastAsia="宋体" w:cs="Times New Roman"/>
          <w:color w:val="000000"/>
          <w:kern w:val="0"/>
          <w:sz w:val="31"/>
          <w:szCs w:val="31"/>
          <w:lang w:val="en-US" w:eastAsia="zh-CN" w:bidi="ar"/>
        </w:rPr>
        <w:t>3</w:t>
      </w:r>
      <w:r>
        <w:rPr>
          <w:rFonts w:hint="default" w:ascii="___WRD_EMBED_SUB_39" w:hAnsi="___WRD_EMBED_SUB_39" w:eastAsia="___WRD_EMBED_SUB_39" w:cs="___WRD_EMBED_SUB_39"/>
          <w:color w:val="000000"/>
          <w:kern w:val="0"/>
          <w:sz w:val="31"/>
          <w:szCs w:val="31"/>
          <w:lang w:val="en-US" w:eastAsia="zh-CN" w:bidi="ar"/>
        </w:rPr>
        <w:t xml:space="preserve">：财政拨款收支情况 </w:t>
      </w:r>
    </w:p>
    <w:p>
      <w:pPr>
        <w:rPr>
          <w:rFonts w:hint="eastAsia" w:ascii="楷体_GB2312" w:hAnsi="Times New Roman" w:eastAsia="楷体_GB2312" w:cs="DengXian-Bold"/>
          <w:b/>
          <w:bCs/>
          <w:sz w:val="32"/>
          <w:szCs w:val="32"/>
        </w:rPr>
      </w:pPr>
      <w:r>
        <w:rPr>
          <w:rFonts w:ascii="仿宋_GB2312" w:eastAsia="仿宋_GB2312" w:cs="DengXian-Regular"/>
          <w:sz w:val="32"/>
          <w:szCs w:val="32"/>
        </w:rPr>
        <w:drawing>
          <wp:inline distT="0" distB="0" distL="0" distR="0">
            <wp:extent cx="5486400" cy="3200400"/>
            <wp:effectExtent l="4445" t="4445" r="14605" b="1460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snapToGrid w:val="0"/>
        <w:spacing w:line="580" w:lineRule="exact"/>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（二）财政拨款收支与年初预算数对比情况</w:t>
      </w:r>
    </w:p>
    <w:p>
      <w:pPr>
        <w:keepNext w:val="0"/>
        <w:keepLines w:val="0"/>
        <w:widowControl/>
        <w:suppressLineNumbers w:val="0"/>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133722.67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1249</w:t>
      </w:r>
      <w:r>
        <w:rPr>
          <w:rFonts w:hint="eastAsia" w:ascii="仿宋_GB2312" w:hAnsi="Times New Roman" w:eastAsia="仿宋_GB2312" w:cs="DengXian-Regular"/>
          <w:sz w:val="32"/>
          <w:szCs w:val="32"/>
        </w:rPr>
        <w:t>%（如图4）,比年初预算增加</w:t>
      </w:r>
      <w:r>
        <w:rPr>
          <w:rFonts w:hint="eastAsia" w:ascii="仿宋_GB2312" w:hAnsi="Times New Roman" w:eastAsia="仿宋_GB2312" w:cs="DengXian-Regular"/>
          <w:sz w:val="32"/>
          <w:szCs w:val="32"/>
          <w:lang w:val="en-US" w:eastAsia="zh-CN"/>
        </w:rPr>
        <w:t>25451.12</w:t>
      </w:r>
      <w:r>
        <w:rPr>
          <w:rFonts w:hint="eastAsia" w:ascii="仿宋_GB2312" w:hAnsi="Times New Roman" w:eastAsia="仿宋_GB2312" w:cs="DengXian-Regular"/>
          <w:sz w:val="32"/>
          <w:szCs w:val="32"/>
        </w:rPr>
        <w:t>万元，决算数大于预算数主要原因</w:t>
      </w:r>
      <w:r>
        <w:rPr>
          <w:rFonts w:ascii="仿宋" w:hAnsi="仿宋" w:eastAsia="仿宋" w:cs="仿宋"/>
          <w:color w:val="000000"/>
          <w:kern w:val="0"/>
          <w:sz w:val="31"/>
          <w:szCs w:val="31"/>
          <w:lang w:val="en-US" w:eastAsia="zh-CN" w:bidi="ar"/>
        </w:rPr>
        <w:t>是增加了政府性基金预算财政拨款</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132699.46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1239.51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121993.7</w:t>
      </w:r>
      <w:r>
        <w:rPr>
          <w:rFonts w:hint="eastAsia" w:ascii="仿宋_GB2312" w:hAnsi="Times New Roman" w:eastAsia="仿宋_GB2312" w:cs="DengXian-Regular"/>
          <w:sz w:val="32"/>
          <w:szCs w:val="32"/>
        </w:rPr>
        <w:t>万元，决算数大于预算数主要原因是主要</w:t>
      </w:r>
      <w:r>
        <w:rPr>
          <w:rFonts w:ascii="仿宋" w:hAnsi="仿宋" w:eastAsia="仿宋" w:cs="仿宋"/>
          <w:color w:val="000000"/>
          <w:kern w:val="0"/>
          <w:sz w:val="31"/>
          <w:szCs w:val="31"/>
          <w:lang w:val="en-US" w:eastAsia="zh-CN" w:bidi="ar"/>
        </w:rPr>
        <w:t xml:space="preserve">加大土地补偿方面的支出。 </w:t>
      </w:r>
      <w:r>
        <w:rPr>
          <w:rFonts w:hint="eastAsia" w:ascii="仿宋_GB2312" w:hAnsi="Times New Roman" w:eastAsia="仿宋_GB2312" w:cs="DengXian-Regular"/>
          <w:sz w:val="32"/>
          <w:szCs w:val="32"/>
        </w:rPr>
        <w:t>具体情况如下：</w:t>
      </w:r>
    </w:p>
    <w:p>
      <w:pPr>
        <w:keepNext w:val="0"/>
        <w:keepLines w:val="0"/>
        <w:widowControl/>
        <w:suppressLineNumbers w:val="0"/>
        <w:jc w:val="left"/>
        <w:rPr>
          <w:rFonts w:hint="default"/>
          <w:lang w:val="en-US"/>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923.99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80825.41</w:t>
      </w:r>
      <w:r>
        <w:rPr>
          <w:rFonts w:hint="eastAsia" w:ascii="仿宋_GB2312" w:hAnsi="Times New Roman" w:eastAsia="仿宋_GB2312" w:cs="DengXian-Regular"/>
          <w:sz w:val="32"/>
          <w:szCs w:val="32"/>
        </w:rPr>
        <w:t>万元，主要是</w:t>
      </w:r>
      <w:r>
        <w:rPr>
          <w:rFonts w:ascii="仿宋" w:hAnsi="仿宋" w:eastAsia="仿宋" w:cs="仿宋"/>
          <w:color w:val="000000"/>
          <w:kern w:val="0"/>
          <w:sz w:val="31"/>
          <w:szCs w:val="31"/>
          <w:lang w:val="en-US" w:eastAsia="zh-CN" w:bidi="ar"/>
        </w:rPr>
        <w:t>增加了税源，加大税收</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913.56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79802.19</w:t>
      </w:r>
      <w:r>
        <w:rPr>
          <w:rFonts w:hint="eastAsia" w:ascii="仿宋_GB2312" w:hAnsi="Times New Roman" w:eastAsia="仿宋_GB2312" w:cs="DengXian-Regular"/>
          <w:sz w:val="32"/>
          <w:szCs w:val="32"/>
        </w:rPr>
        <w:t>万元，主要是</w:t>
      </w:r>
      <w:r>
        <w:rPr>
          <w:rFonts w:ascii="仿宋" w:hAnsi="仿宋" w:eastAsia="仿宋" w:cs="仿宋"/>
          <w:color w:val="000000"/>
          <w:kern w:val="0"/>
          <w:sz w:val="31"/>
          <w:szCs w:val="31"/>
          <w:lang w:val="en-US" w:eastAsia="zh-CN" w:bidi="ar"/>
        </w:rPr>
        <w:t>加大美</w:t>
      </w:r>
      <w:r>
        <w:rPr>
          <w:rFonts w:hint="eastAsia" w:ascii="仿宋" w:hAnsi="仿宋" w:eastAsia="仿宋" w:cs="仿宋"/>
          <w:color w:val="000000"/>
          <w:kern w:val="0"/>
          <w:sz w:val="31"/>
          <w:szCs w:val="31"/>
          <w:lang w:val="en-US" w:eastAsia="zh-CN" w:bidi="ar"/>
        </w:rPr>
        <w:t>丽乡村方面支出.</w:t>
      </w:r>
    </w:p>
    <w:p>
      <w:pPr>
        <w:keepNext w:val="0"/>
        <w:keepLines w:val="0"/>
        <w:widowControl/>
        <w:suppressLineNumbers w:val="0"/>
        <w:jc w:val="left"/>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439.27</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33279.27</w:t>
      </w:r>
      <w:r>
        <w:rPr>
          <w:rFonts w:hint="eastAsia" w:ascii="仿宋_GB2312" w:hAnsi="Times New Roman" w:eastAsia="仿宋_GB2312" w:cs="DengXian-Regular"/>
          <w:sz w:val="32"/>
          <w:szCs w:val="32"/>
        </w:rPr>
        <w:t>万元，主要是</w:t>
      </w:r>
      <w:r>
        <w:rPr>
          <w:rFonts w:ascii="仿宋" w:hAnsi="仿宋" w:eastAsia="仿宋" w:cs="仿宋"/>
          <w:color w:val="000000"/>
          <w:kern w:val="0"/>
          <w:sz w:val="31"/>
          <w:szCs w:val="31"/>
          <w:lang w:val="en-US" w:eastAsia="zh-CN" w:bidi="ar"/>
        </w:rPr>
        <w:t xml:space="preserve">加大美 </w:t>
      </w:r>
      <w:r>
        <w:rPr>
          <w:rFonts w:hint="eastAsia" w:ascii="仿宋" w:hAnsi="仿宋" w:eastAsia="仿宋" w:cs="仿宋"/>
          <w:color w:val="000000"/>
          <w:kern w:val="0"/>
          <w:sz w:val="31"/>
          <w:szCs w:val="31"/>
          <w:lang w:val="en-US" w:eastAsia="zh-CN" w:bidi="ar"/>
        </w:rPr>
        <w:t>丽乡村建设；</w:t>
      </w:r>
    </w:p>
    <w:p>
      <w:pPr>
        <w:keepNext w:val="0"/>
        <w:keepLines w:val="0"/>
        <w:widowControl/>
        <w:suppressLineNumbers w:val="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439.27</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33279.27</w:t>
      </w:r>
      <w:r>
        <w:rPr>
          <w:rFonts w:hint="eastAsia" w:ascii="仿宋_GB2312" w:hAnsi="Times New Roman" w:eastAsia="仿宋_GB2312" w:cs="DengXian-Regular"/>
          <w:sz w:val="32"/>
          <w:szCs w:val="32"/>
        </w:rPr>
        <w:t>万元，</w:t>
      </w:r>
      <w:r>
        <w:rPr>
          <w:rFonts w:ascii="仿宋" w:hAnsi="仿宋" w:eastAsia="仿宋" w:cs="仿宋"/>
          <w:color w:val="000000"/>
          <w:kern w:val="0"/>
          <w:sz w:val="31"/>
          <w:szCs w:val="31"/>
          <w:lang w:val="en-US" w:eastAsia="zh-CN" w:bidi="ar"/>
        </w:rPr>
        <w:t>主要是加大美丽乡村建设支出。</w:t>
      </w:r>
    </w:p>
    <w:p>
      <w:pPr>
        <w:keepNext w:val="0"/>
        <w:keepLines w:val="0"/>
        <w:widowControl/>
        <w:suppressLineNumbers w:val="0"/>
        <w:jc w:val="left"/>
      </w:pPr>
      <w:r>
        <w:rPr>
          <w:rFonts w:ascii="___WRD_EMBED_SUB_39" w:hAnsi="___WRD_EMBED_SUB_39" w:eastAsia="___WRD_EMBED_SUB_39" w:cs="___WRD_EMBED_SUB_39"/>
          <w:color w:val="000000"/>
          <w:kern w:val="0"/>
          <w:sz w:val="31"/>
          <w:szCs w:val="31"/>
          <w:lang w:val="en-US" w:eastAsia="zh-CN" w:bidi="ar"/>
        </w:rPr>
        <w:t xml:space="preserve">图 </w:t>
      </w:r>
      <w:r>
        <w:rPr>
          <w:rFonts w:hint="default" w:ascii="Times New Roman" w:hAnsi="Times New Roman" w:eastAsia="宋体" w:cs="Times New Roman"/>
          <w:color w:val="000000"/>
          <w:kern w:val="0"/>
          <w:sz w:val="31"/>
          <w:szCs w:val="31"/>
          <w:lang w:val="en-US" w:eastAsia="zh-CN" w:bidi="ar"/>
        </w:rPr>
        <w:t>4</w:t>
      </w:r>
      <w:r>
        <w:rPr>
          <w:rFonts w:hint="default" w:ascii="___WRD_EMBED_SUB_39" w:hAnsi="___WRD_EMBED_SUB_39" w:eastAsia="___WRD_EMBED_SUB_39" w:cs="___WRD_EMBED_SUB_39"/>
          <w:color w:val="000000"/>
          <w:kern w:val="0"/>
          <w:sz w:val="31"/>
          <w:szCs w:val="31"/>
          <w:lang w:val="en-US" w:eastAsia="zh-CN" w:bidi="ar"/>
        </w:rPr>
        <w:t>：财政拨款收支预决算对比情况</w:t>
      </w:r>
    </w:p>
    <w:p>
      <w:pPr>
        <w:adjustRightInd w:val="0"/>
        <w:snapToGrid w:val="0"/>
        <w:spacing w:after="0" w:line="240" w:lineRule="auto"/>
        <w:rPr>
          <w:rFonts w:ascii="仿宋_GB2312" w:eastAsia="仿宋_GB2312" w:cs="DengXian-Regular"/>
          <w:sz w:val="32"/>
          <w:szCs w:val="32"/>
          <w:highlight w:val="yellow"/>
        </w:rPr>
      </w:pPr>
      <w:r>
        <w:rPr>
          <w:rFonts w:ascii="仿宋_GB2312" w:eastAsia="仿宋_GB2312" w:cs="DengXian-Regular"/>
          <w:sz w:val="32"/>
          <w:szCs w:val="32"/>
        </w:rPr>
        <w:drawing>
          <wp:inline distT="0" distB="0" distL="0" distR="0">
            <wp:extent cx="5486400" cy="3200400"/>
            <wp:effectExtent l="4445" t="4445" r="14605" b="1460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adjustRightInd w:val="0"/>
        <w:snapToGrid w:val="0"/>
        <w:spacing w:line="580" w:lineRule="exact"/>
        <w:rPr>
          <w:rFonts w:ascii="仿宋_GB2312" w:hAnsi="Times New Roman" w:eastAsia="仿宋_GB2312" w:cs="DengXian-Regular"/>
          <w:sz w:val="32"/>
          <w:szCs w:val="32"/>
          <w:highlight w:val="yellow"/>
        </w:rPr>
      </w:pPr>
    </w:p>
    <w:p>
      <w:pPr>
        <w:adjustRightInd w:val="0"/>
        <w:snapToGrid w:val="0"/>
        <w:spacing w:line="580" w:lineRule="exact"/>
        <w:rPr>
          <w:rFonts w:ascii="仿宋_GB2312" w:hAnsi="Times New Roman" w:eastAsia="仿宋_GB2312" w:cs="DengXian-Regular"/>
          <w:sz w:val="32"/>
          <w:szCs w:val="32"/>
          <w:highlight w:val="yellow"/>
        </w:rPr>
      </w:pP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keepNext w:val="0"/>
        <w:keepLines w:val="0"/>
        <w:widowControl/>
        <w:suppressLineNumbers w:val="0"/>
        <w:ind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132699.46</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:2012.81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2.27</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286.21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0.22</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卫生健康类支出</w:t>
      </w:r>
      <w:r>
        <w:rPr>
          <w:rFonts w:hint="eastAsia" w:ascii="仿宋_GB2312" w:hAnsi="Times New Roman" w:eastAsia="仿宋_GB2312" w:cs="DengXian-Regular"/>
          <w:sz w:val="32"/>
          <w:szCs w:val="32"/>
          <w:lang w:val="en-US" w:eastAsia="zh-CN"/>
        </w:rPr>
        <w:t>57.11万元，占0.04</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;节能环保类支出1163.82万元，占0.88</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，城乡社区支出</w:t>
      </w:r>
      <w:r>
        <w:rPr>
          <w:rFonts w:hint="eastAsia" w:ascii="仿宋_GB2312" w:hAnsi="Times New Roman" w:eastAsia="仿宋_GB2312" w:cs="DengXian-Regular"/>
          <w:sz w:val="32"/>
          <w:szCs w:val="32"/>
          <w:lang w:val="en-US" w:eastAsia="zh-CN"/>
        </w:rPr>
        <w:t>116911.64万元，占88.10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；农林水支出</w:t>
      </w:r>
      <w:r>
        <w:rPr>
          <w:rFonts w:hint="eastAsia" w:ascii="仿宋_GB2312" w:hAnsi="Times New Roman" w:eastAsia="仿宋_GB2312" w:cs="DengXian-Regular"/>
          <w:sz w:val="32"/>
          <w:szCs w:val="32"/>
          <w:lang w:val="en-US" w:eastAsia="zh-CN"/>
        </w:rPr>
        <w:t>3071.93万元，占2.31</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；资源勘探信息等支出</w:t>
      </w:r>
      <w:r>
        <w:rPr>
          <w:rFonts w:hint="eastAsia" w:ascii="仿宋_GB2312" w:hAnsi="Times New Roman" w:eastAsia="仿宋_GB2312" w:cs="DengXian-Regular"/>
          <w:sz w:val="32"/>
          <w:szCs w:val="32"/>
          <w:lang w:val="en-US" w:eastAsia="zh-CN"/>
        </w:rPr>
        <w:t>8092.48</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6.10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住房保障支出</w:t>
      </w:r>
      <w:r>
        <w:rPr>
          <w:rFonts w:hint="eastAsia" w:ascii="仿宋_GB2312" w:hAnsi="Times New Roman" w:eastAsia="仿宋_GB2312" w:cs="DengXian-Regular"/>
          <w:sz w:val="32"/>
          <w:szCs w:val="32"/>
          <w:lang w:val="en-US" w:eastAsia="zh-CN"/>
        </w:rPr>
        <w:t>103.47万元，占0.08</w:t>
      </w:r>
      <w:r>
        <w:rPr>
          <w:rFonts w:hint="eastAsia" w:ascii="仿宋_GB2312" w:hAnsi="Times New Roman"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after="0" w:line="240" w:lineRule="auto"/>
        <w:rPr>
          <w:rFonts w:ascii="楷体_GB2312" w:eastAsia="楷体_GB2312" w:cs="DengXian-Bold"/>
          <w:b/>
          <w:bCs/>
          <w:sz w:val="32"/>
          <w:szCs w:val="32"/>
        </w:rPr>
      </w:pPr>
      <w:r>
        <w:rPr>
          <w:rFonts w:ascii="楷体_GB2312" w:eastAsia="楷体_GB2312" w:cs="DengXian-Bold"/>
          <w:b/>
          <w:bCs/>
          <w:sz w:val="32"/>
          <w:szCs w:val="32"/>
        </w:rPr>
        <w:drawing>
          <wp:inline distT="0" distB="0" distL="0" distR="0">
            <wp:extent cx="5486400" cy="3200400"/>
            <wp:effectExtent l="4445" t="4445" r="14605" b="1460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4003.79</w:t>
      </w:r>
      <w:r>
        <w:rPr>
          <w:rFonts w:hint="eastAsia" w:ascii="仿宋_GB2312" w:hAnsi="Times New Roman" w:eastAsia="仿宋_GB2312" w:cs="DengXian-Regular"/>
          <w:sz w:val="32"/>
          <w:szCs w:val="32"/>
        </w:rPr>
        <w:t>万元，其中：人员经费</w:t>
      </w:r>
      <w:r>
        <w:rPr>
          <w:rFonts w:hint="eastAsia" w:ascii="仿宋_GB2312" w:hAnsi="Times New Roman" w:eastAsia="仿宋_GB2312" w:cs="DengXian-Regular"/>
          <w:sz w:val="32"/>
          <w:szCs w:val="32"/>
          <w:lang w:val="en-US" w:eastAsia="zh-CN"/>
        </w:rPr>
        <w:t>2706.18</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1297.61</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keepNext w:val="0"/>
        <w:keepLines w:val="0"/>
        <w:widowControl/>
        <w:suppressLineNumbers w:val="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11.46</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93.93</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0.74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6.07</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油费及车辆维修等费用减少</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0.29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2.47</w:t>
      </w:r>
      <w:r>
        <w:rPr>
          <w:rFonts w:hint="eastAsia" w:ascii="仿宋_GB2312" w:hAnsi="Times New Roman" w:eastAsia="仿宋_GB2312" w:cs="DengXian-Regular"/>
          <w:sz w:val="32"/>
          <w:szCs w:val="32"/>
        </w:rPr>
        <w:t>%，</w:t>
      </w:r>
      <w:r>
        <w:rPr>
          <w:rFonts w:ascii="仿宋" w:hAnsi="仿宋" w:eastAsia="仿宋" w:cs="仿宋"/>
          <w:color w:val="000000"/>
          <w:kern w:val="0"/>
          <w:sz w:val="31"/>
          <w:szCs w:val="31"/>
          <w:lang w:val="en-US" w:eastAsia="zh-CN" w:bidi="ar"/>
        </w:rPr>
        <w:t>主要是油费及车险支出减少</w:t>
      </w:r>
      <w:r>
        <w:rPr>
          <w:rFonts w:hint="eastAsia" w:ascii="仿宋_GB2312" w:hAnsi="Times New Roman" w:eastAsia="仿宋_GB2312" w:cs="DengXian-Regular"/>
          <w:sz w:val="32"/>
          <w:szCs w:val="32"/>
        </w:rPr>
        <w:t>。具体情况如下：</w:t>
      </w:r>
    </w:p>
    <w:p>
      <w:pPr>
        <w:keepNext w:val="0"/>
        <w:keepLines w:val="0"/>
        <w:widowControl/>
        <w:numPr>
          <w:numId w:val="0"/>
        </w:numPr>
        <w:suppressLineNumbers w:val="0"/>
        <w:jc w:val="left"/>
        <w:rPr>
          <w:rFonts w:hint="eastAsia" w:ascii="仿宋" w:hAnsi="仿宋" w:eastAsia="仿宋" w:cs="仿宋"/>
          <w:color w:val="000000"/>
          <w:kern w:val="0"/>
          <w:sz w:val="31"/>
          <w:szCs w:val="31"/>
          <w:lang w:val="en-US" w:eastAsia="zh-CN" w:bidi="ar"/>
        </w:rPr>
      </w:pPr>
      <w:r>
        <w:rPr>
          <w:rFonts w:hint="eastAsia" w:ascii="楷体_GB2312" w:hAnsi="Times New Roman" w:eastAsia="楷体_GB2312" w:cs="DengXian-Bold"/>
          <w:b/>
          <w:bCs/>
          <w:sz w:val="32"/>
          <w:szCs w:val="32"/>
          <w:lang w:val="en-US" w:eastAsia="zh-CN"/>
        </w:rPr>
        <w:t xml:space="preserve">    （一）</w:t>
      </w: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人/无本单位组织的出国（境）团组。因公出国（境）费支出较年初预算无增减变化,主要是无因公出国（境）；较上年决算无增减变化,主要是无因公出国（境）。</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11.46</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0.74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6.07</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油费及车险支出减少</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0.29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2.47</w:t>
      </w:r>
      <w:r>
        <w:rPr>
          <w:rFonts w:hint="eastAsia" w:ascii="仿宋_GB2312" w:hAnsi="Times New Roman" w:eastAsia="仿宋_GB2312" w:cs="DengXian-Regular"/>
          <w:sz w:val="32"/>
          <w:szCs w:val="32"/>
        </w:rPr>
        <w:t>%，</w:t>
      </w:r>
      <w:r>
        <w:rPr>
          <w:rFonts w:ascii="仿宋" w:hAnsi="仿宋" w:eastAsia="仿宋" w:cs="仿宋"/>
          <w:color w:val="000000"/>
          <w:kern w:val="0"/>
          <w:sz w:val="31"/>
          <w:szCs w:val="31"/>
          <w:lang w:val="en-US" w:eastAsia="zh-CN" w:bidi="ar"/>
        </w:rPr>
        <w:t>主要是油费及车险支出减少</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b/>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万元。公务用车购置费支出较年初预算无增减变化,主要是严格控制支出，无公务用车购置；较上年决算无增减变化,主要是严格控制支出，无公务用车购置。</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0.74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6.07</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油费及车险支出减少</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0.29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2.47</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油费及车险支出减少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w:t>
      </w:r>
      <w:r>
        <w:rPr>
          <w:rFonts w:hint="eastAsia" w:ascii="仿宋" w:hAnsi="仿宋" w:eastAsia="仿宋" w:cs="仿宋"/>
          <w:kern w:val="0"/>
          <w:sz w:val="32"/>
          <w:szCs w:val="32"/>
        </w:rPr>
        <w:t>年初预算无增减变化</w:t>
      </w:r>
      <w:r>
        <w:rPr>
          <w:rFonts w:hint="eastAsia" w:ascii="仿宋_GB2312" w:hAnsi="Times New Roman" w:eastAsia="仿宋_GB2312" w:cs="DengXian-Regular"/>
          <w:sz w:val="32"/>
          <w:szCs w:val="32"/>
        </w:rPr>
        <w:t>,主要是</w:t>
      </w:r>
      <w:r>
        <w:rPr>
          <w:rFonts w:hint="eastAsia" w:ascii="仿宋" w:hAnsi="仿宋" w:eastAsia="仿宋" w:cs="仿宋"/>
          <w:kern w:val="0"/>
          <w:sz w:val="32"/>
          <w:szCs w:val="32"/>
        </w:rPr>
        <w:t>规范公务接待活动，厉行节约，严格控制支出</w:t>
      </w:r>
      <w:r>
        <w:rPr>
          <w:rFonts w:hint="eastAsia" w:ascii="仿宋_GB2312" w:hAnsi="Times New Roman" w:eastAsia="仿宋_GB2312" w:cs="DengXian-Regular"/>
          <w:sz w:val="32"/>
          <w:szCs w:val="32"/>
        </w:rPr>
        <w:t>；较上年度</w:t>
      </w:r>
      <w:r>
        <w:rPr>
          <w:rFonts w:hint="eastAsia" w:ascii="仿宋" w:hAnsi="仿宋" w:eastAsia="仿宋" w:cs="仿宋"/>
          <w:kern w:val="0"/>
          <w:sz w:val="32"/>
          <w:szCs w:val="32"/>
        </w:rPr>
        <w:t>决算无增减变化</w:t>
      </w:r>
      <w:r>
        <w:rPr>
          <w:rFonts w:hint="eastAsia" w:ascii="仿宋_GB2312" w:hAnsi="Times New Roman" w:eastAsia="仿宋_GB2312" w:cs="DengXian-Regular"/>
          <w:sz w:val="32"/>
          <w:szCs w:val="32"/>
        </w:rPr>
        <w:t>,主要是</w:t>
      </w:r>
      <w:r>
        <w:rPr>
          <w:rFonts w:hint="eastAsia" w:ascii="仿宋" w:hAnsi="仿宋" w:eastAsia="仿宋" w:cs="仿宋"/>
          <w:kern w:val="0"/>
          <w:sz w:val="32"/>
          <w:szCs w:val="32"/>
        </w:rPr>
        <w:t>规范公务接待活动，厉行节约，严格控制支出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keepNext w:val="0"/>
        <w:keepLines w:val="0"/>
        <w:widowControl/>
        <w:suppressLineNumbers w:val="0"/>
        <w:jc w:val="left"/>
      </w:pPr>
      <w:r>
        <w:rPr>
          <w:rFonts w:hint="eastAsia" w:ascii="仿宋_GB2312" w:hAnsi="仿宋_GB2312" w:eastAsia="仿宋_GB2312" w:cs="仿宋_GB2312"/>
          <w:sz w:val="32"/>
          <w:szCs w:val="32"/>
        </w:rPr>
        <w:t>根据预算绩效管理要求，本部门组织对2019年度一般公共预算项目支出全面开展绩效自评，</w:t>
      </w:r>
      <w:r>
        <w:rPr>
          <w:rFonts w:ascii="仿宋" w:hAnsi="仿宋" w:eastAsia="仿宋" w:cs="仿宋"/>
          <w:color w:val="000000"/>
          <w:kern w:val="0"/>
          <w:sz w:val="31"/>
          <w:szCs w:val="31"/>
          <w:lang w:val="en-US" w:eastAsia="zh-CN" w:bidi="ar"/>
        </w:rPr>
        <w:t xml:space="preserve">为加强财政支出管理，强化支出责任，建立科学、合理的财 </w:t>
      </w:r>
      <w:r>
        <w:rPr>
          <w:rFonts w:hint="eastAsia" w:ascii="仿宋" w:hAnsi="仿宋" w:eastAsia="仿宋" w:cs="仿宋"/>
          <w:color w:val="000000"/>
          <w:kern w:val="0"/>
          <w:sz w:val="31"/>
          <w:szCs w:val="31"/>
          <w:lang w:val="en-US" w:eastAsia="zh-CN" w:bidi="ar"/>
        </w:rPr>
        <w:t xml:space="preserve">政支出绩效评价管理体系，提高财政资金使用效益，根据《中华人民共和国预算法》等国家有关规定绩效管理工作。 一是制定绩效管理自评方案，进一步明确了评价工作的指导 思想、方法步骤，细化了应达到的绩效目标和相应的绩效指标， 完善了绩效评价体系。二是按照经济性、效率性、有效性的原则， 定量分析与定性分析相结合的原则，真实性、科学性、规范性的原则，对重点项目制定绩效评价实施方案和绩效指标评价体系。 </w:t>
      </w:r>
    </w:p>
    <w:p>
      <w:pPr>
        <w:adjustRightInd w:val="0"/>
        <w:snapToGrid w:val="0"/>
        <w:spacing w:line="580" w:lineRule="exact"/>
        <w:ind w:left="420" w:leftChars="200" w:firstLine="321" w:firstLineChars="100"/>
        <w:rPr>
          <w:rFonts w:hint="eastAsia" w:ascii="仿宋" w:hAnsi="仿宋" w:eastAsia="仿宋" w:cs="仿宋"/>
          <w:color w:val="000000"/>
          <w:kern w:val="0"/>
          <w:sz w:val="31"/>
          <w:szCs w:val="31"/>
          <w:highlight w:val="yellow"/>
          <w:lang w:val="en-US" w:eastAsia="zh-CN" w:bidi="ar"/>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hint="eastAsia" w:ascii="仿宋" w:hAnsi="仿宋" w:eastAsia="仿宋" w:cs="仿宋"/>
          <w:color w:val="000000"/>
          <w:kern w:val="0"/>
          <w:sz w:val="31"/>
          <w:szCs w:val="31"/>
          <w:highlight w:val="yellow"/>
          <w:lang w:val="en-US" w:eastAsia="zh-CN" w:bidi="ar"/>
        </w:rPr>
      </w:pPr>
      <w:r>
        <w:rPr>
          <w:rFonts w:hint="eastAsia" w:ascii="Times New Roman" w:hAnsi="Times New Roman" w:eastAsia="仿宋_GB2312" w:cs="Times New Roman"/>
          <w:b w:val="0"/>
          <w:bCs w:val="0"/>
          <w:kern w:val="2"/>
          <w:sz w:val="32"/>
          <w:szCs w:val="32"/>
          <w:lang w:val="en-US" w:eastAsia="zh-CN" w:bidi="ar-SA"/>
        </w:rPr>
        <w:t>本部门对2019年度纳入绩效评价范围的专项项目绩效预算执行情况进行了认真自评，增加绩效评价的科学性、合理性</w:t>
      </w:r>
      <w:r>
        <w:rPr>
          <w:rFonts w:hint="eastAsia" w:ascii="仿宋_GB2312" w:hAnsi="仿宋_GB2312" w:eastAsia="仿宋_GB2312" w:cs="仿宋_GB2312"/>
          <w:sz w:val="32"/>
          <w:szCs w:val="32"/>
        </w:rPr>
        <w:t>。</w:t>
      </w:r>
      <w:bookmarkStart w:id="0" w:name="_GoBack"/>
      <w:bookmarkEnd w:id="0"/>
    </w:p>
    <w:p>
      <w:pPr>
        <w:keepNext w:val="0"/>
        <w:keepLines w:val="0"/>
        <w:widowControl/>
        <w:suppressLineNumbers w:val="0"/>
        <w:ind w:firstLine="643" w:firstLineChars="200"/>
        <w:jc w:val="left"/>
      </w:pPr>
      <w:r>
        <w:rPr>
          <w:rFonts w:hint="eastAsia" w:ascii="仿宋_GB2312" w:hAnsi="仿宋_GB2312" w:eastAsia="仿宋_GB2312" w:cs="仿宋_GB2312"/>
          <w:b/>
          <w:bCs/>
          <w:sz w:val="32"/>
          <w:szCs w:val="32"/>
          <w:lang w:val="en-US" w:eastAsia="zh-CN"/>
        </w:rPr>
        <w:t>3.重点项目绩效评价结果。</w:t>
      </w:r>
      <w:r>
        <w:rPr>
          <w:rFonts w:ascii="仿宋" w:hAnsi="仿宋" w:eastAsia="仿宋" w:cs="仿宋"/>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2019年度预算项目主要分两大部分：1、节能环保支出；2、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城乡社区支出。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节能环保支出1163.82万元，主要用于大气污染防治宣传、 水车喷洒路面、落叶禁烧补偿。最大程度的做到了路面无尘土飞 扬，秋天防治落叶合理安放，树旁无落叶焚烧。绩效评价结果为 优秀。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城乡社区支出 116911.64 万元，主要是城区路面硬化、路两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侧绿化、净化。绩效评价结果为优秀。</w:t>
      </w:r>
    </w:p>
    <w:p>
      <w:pPr>
        <w:keepNext/>
        <w:keepLines/>
        <w:snapToGrid w:val="0"/>
        <w:spacing w:line="580" w:lineRule="exact"/>
        <w:ind w:firstLine="640" w:firstLineChars="200"/>
        <w:outlineLvl w:val="1"/>
        <w:rPr>
          <w:rFonts w:hint="eastAsia" w:ascii="仿宋" w:hAnsi="仿宋" w:eastAsia="仿宋" w:cs="仿宋"/>
          <w:color w:val="000000"/>
          <w:kern w:val="0"/>
          <w:sz w:val="31"/>
          <w:szCs w:val="31"/>
          <w:lang w:val="en-US" w:eastAsia="zh-CN" w:bidi="ar"/>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keepNext w:val="0"/>
        <w:keepLines w:val="0"/>
        <w:widowControl/>
        <w:suppressLineNumbers w:val="0"/>
        <w:jc w:val="left"/>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1297</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472.79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57.32</w:t>
      </w:r>
      <w:r>
        <w:rPr>
          <w:rFonts w:hint="eastAsia" w:ascii="仿宋_GB2312" w:hAnsi="Times New Roman" w:eastAsia="仿宋_GB2312" w:cs="DengXian-Regular"/>
          <w:sz w:val="32"/>
          <w:szCs w:val="32"/>
        </w:rPr>
        <w:t>%。主要原因</w:t>
      </w:r>
      <w:r>
        <w:rPr>
          <w:rFonts w:ascii="仿宋" w:hAnsi="仿宋" w:eastAsia="仿宋" w:cs="仿宋"/>
          <w:color w:val="000000"/>
          <w:kern w:val="0"/>
          <w:sz w:val="31"/>
          <w:szCs w:val="31"/>
          <w:lang w:val="en-US" w:eastAsia="zh-CN" w:bidi="ar"/>
        </w:rPr>
        <w:t>是 201</w:t>
      </w:r>
      <w:r>
        <w:rPr>
          <w:rFonts w:hint="eastAsia" w:ascii="仿宋" w:hAnsi="仿宋" w:eastAsia="仿宋" w:cs="仿宋"/>
          <w:color w:val="000000"/>
          <w:kern w:val="0"/>
          <w:sz w:val="31"/>
          <w:szCs w:val="31"/>
          <w:lang w:val="en-US" w:eastAsia="zh-CN" w:bidi="ar"/>
        </w:rPr>
        <w:t>9</w:t>
      </w:r>
      <w:r>
        <w:rPr>
          <w:rFonts w:ascii="仿宋" w:hAnsi="仿宋" w:eastAsia="仿宋" w:cs="仿宋"/>
          <w:color w:val="000000"/>
          <w:kern w:val="0"/>
          <w:sz w:val="31"/>
          <w:szCs w:val="31"/>
          <w:lang w:val="en-US" w:eastAsia="zh-CN" w:bidi="ar"/>
        </w:rPr>
        <w:t>年美</w:t>
      </w:r>
      <w:r>
        <w:rPr>
          <w:rFonts w:hint="eastAsia" w:ascii="仿宋" w:hAnsi="仿宋" w:eastAsia="仿宋" w:cs="仿宋"/>
          <w:color w:val="000000"/>
          <w:kern w:val="0"/>
          <w:sz w:val="31"/>
          <w:szCs w:val="31"/>
          <w:lang w:val="en-US" w:eastAsia="zh-CN" w:bidi="ar"/>
        </w:rPr>
        <w:t>丽乡村工作的持续开展导致我单位与之相关的各项监理、审计等支出相应增加。</w:t>
      </w:r>
    </w:p>
    <w:p>
      <w:pPr>
        <w:adjustRightInd w:val="0"/>
        <w:snapToGrid w:val="0"/>
        <w:spacing w:line="580" w:lineRule="exact"/>
        <w:ind w:firstLine="640" w:firstLineChars="200"/>
        <w:rPr>
          <w:rFonts w:ascii="仿宋_GB2312" w:hAnsi="Times New Roman" w:eastAsia="仿宋_GB2312" w:cs="DengXian-Regular"/>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543.31</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543.31</w:t>
      </w:r>
      <w:r>
        <w:rPr>
          <w:rFonts w:ascii="仿宋_GB2312" w:hAnsi="仿宋_GB2312" w:eastAsia="仿宋_GB2312" w:cs="仿宋_GB2312"/>
          <w:color w:val="000000"/>
          <w:kern w:val="0"/>
          <w:sz w:val="32"/>
          <w:szCs w:val="32"/>
          <w:lang w:bidi="ar"/>
        </w:rPr>
        <w:t>万元。</w:t>
      </w:r>
      <w:r>
        <w:rPr>
          <w:rFonts w:hint="eastAsia" w:ascii="仿宋_GB2312" w:hAnsi="Times New Roman" w:eastAsia="仿宋_GB2312" w:cs="DengXian-Regular"/>
          <w:sz w:val="32"/>
          <w:szCs w:val="32"/>
        </w:rPr>
        <w:t>授予中小企业合同金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万元，占政府采购支出总额的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%，其中授予小微企业合同金额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万元，占政府采购支出总额的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其他用车主要是一般公务用车；</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eastAsia="zh-CN"/>
        </w:rPr>
        <w:t>国有资本经营预算财政支出决算表</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国有资本经营预算财政支出决算表</w:t>
      </w:r>
      <w:r>
        <w:rPr>
          <w:rFonts w:hint="eastAsia" w:ascii="仿宋_GB2312" w:hAnsi="Times New Roman" w:eastAsia="仿宋_GB2312" w:cs="DengXian-Regular"/>
          <w:sz w:val="32"/>
          <w:szCs w:val="32"/>
        </w:rPr>
        <w:t>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22" w:type="first"/>
          <w:footerReference r:id="rId24" w:type="first"/>
          <w:headerReference r:id="rId21" w:type="default"/>
          <w:footerReference r:id="rId23"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185536"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185536;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32"/>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5"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6"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7"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186560"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186560;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32"/>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tbl>
      <w:tblPr>
        <w:tblStyle w:val="6"/>
        <w:tblpPr w:leftFromText="180" w:rightFromText="180" w:vertAnchor="text" w:horzAnchor="page" w:tblpX="1394" w:tblpY="321"/>
        <w:tblOverlap w:val="never"/>
        <w:tblW w:w="9060" w:type="dxa"/>
        <w:tblInd w:w="0" w:type="dxa"/>
        <w:shd w:val="clear" w:color="auto" w:fill="auto"/>
        <w:tblLayout w:type="fixed"/>
        <w:tblCellMar>
          <w:top w:w="0" w:type="dxa"/>
          <w:left w:w="0" w:type="dxa"/>
          <w:bottom w:w="0" w:type="dxa"/>
          <w:right w:w="0" w:type="dxa"/>
        </w:tblCellMar>
      </w:tblPr>
      <w:tblGrid>
        <w:gridCol w:w="1991"/>
        <w:gridCol w:w="1032"/>
        <w:gridCol w:w="1406"/>
        <w:gridCol w:w="1818"/>
        <w:gridCol w:w="1069"/>
        <w:gridCol w:w="1744"/>
      </w:tblGrid>
      <w:tr>
        <w:tblPrEx>
          <w:shd w:val="clear" w:color="auto" w:fill="auto"/>
          <w:tblCellMar>
            <w:top w:w="0" w:type="dxa"/>
            <w:left w:w="0" w:type="dxa"/>
            <w:bottom w:w="0" w:type="dxa"/>
            <w:right w:w="0" w:type="dxa"/>
          </w:tblCellMar>
        </w:tblPrEx>
        <w:trPr>
          <w:trHeight w:val="540" w:hRule="atLeast"/>
        </w:trPr>
        <w:tc>
          <w:tcPr>
            <w:tcW w:w="9060"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19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1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4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199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编制单位：廊坊市香河县蒋辛屯镇人民政府</w:t>
            </w:r>
          </w:p>
        </w:tc>
        <w:tc>
          <w:tcPr>
            <w:tcW w:w="103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0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2020年9月</w:t>
            </w:r>
          </w:p>
        </w:tc>
        <w:tc>
          <w:tcPr>
            <w:tcW w:w="181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4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429"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631"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7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90,634.41</w:t>
            </w:r>
          </w:p>
        </w:tc>
        <w:tc>
          <w:tcPr>
            <w:tcW w:w="181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right="34" w:rightChars="16"/>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3012.81</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43,088.27</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286.21</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57.11</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1,163.82</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116,911.64</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3,071.93</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133,722.67</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132,699.46</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37.98</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1,061.19</w:t>
            </w: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99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0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133,760.65</w:t>
            </w:r>
          </w:p>
        </w:tc>
        <w:tc>
          <w:tcPr>
            <w:tcW w:w="181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06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133,760.65</w:t>
            </w:r>
          </w:p>
        </w:tc>
      </w:tr>
      <w:tr>
        <w:tblPrEx>
          <w:tblCellMar>
            <w:top w:w="0" w:type="dxa"/>
            <w:left w:w="0" w:type="dxa"/>
            <w:bottom w:w="0" w:type="dxa"/>
            <w:right w:w="0" w:type="dxa"/>
          </w:tblCellMar>
        </w:tblPrEx>
        <w:trPr>
          <w:trHeight w:val="308" w:hRule="atLeast"/>
        </w:trPr>
        <w:tc>
          <w:tcPr>
            <w:tcW w:w="906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bl>
    <w:p>
      <w:pPr>
        <w:tabs>
          <w:tab w:val="left" w:pos="886"/>
        </w:tabs>
        <w:jc w:val="left"/>
      </w:pPr>
    </w:p>
    <w:p>
      <w:pPr>
        <w:jc w:val="left"/>
      </w:pPr>
    </w:p>
    <w:p>
      <w:pPr>
        <w:jc w:val="left"/>
      </w:pPr>
    </w:p>
    <w:p>
      <w:r>
        <w:br w:type="page"/>
      </w:r>
    </w:p>
    <w:tbl>
      <w:tblPr>
        <w:tblStyle w:val="6"/>
        <w:tblW w:w="22620" w:type="dxa"/>
        <w:tblInd w:w="0" w:type="dxa"/>
        <w:shd w:val="clear" w:color="auto" w:fill="auto"/>
        <w:tblLayout w:type="fixed"/>
        <w:tblCellMar>
          <w:top w:w="0" w:type="dxa"/>
          <w:left w:w="0" w:type="dxa"/>
          <w:bottom w:w="0" w:type="dxa"/>
          <w:right w:w="0" w:type="dxa"/>
        </w:tblCellMar>
      </w:tblPr>
      <w:tblGrid>
        <w:gridCol w:w="1248"/>
        <w:gridCol w:w="4031"/>
        <w:gridCol w:w="1256"/>
        <w:gridCol w:w="1200"/>
        <w:gridCol w:w="769"/>
        <w:gridCol w:w="1069"/>
        <w:gridCol w:w="1125"/>
        <w:gridCol w:w="1406"/>
        <w:gridCol w:w="2062"/>
        <w:gridCol w:w="8454"/>
      </w:tblGrid>
      <w:tr>
        <w:tblPrEx>
          <w:shd w:val="clear" w:color="auto" w:fill="auto"/>
          <w:tblCellMar>
            <w:top w:w="0" w:type="dxa"/>
            <w:left w:w="0" w:type="dxa"/>
            <w:bottom w:w="0" w:type="dxa"/>
            <w:right w:w="0" w:type="dxa"/>
          </w:tblCellMar>
        </w:tblPrEx>
        <w:trPr>
          <w:gridAfter w:val="1"/>
          <w:wAfter w:w="8454" w:type="dxa"/>
          <w:trHeight w:val="540" w:hRule="atLeast"/>
        </w:trPr>
        <w:tc>
          <w:tcPr>
            <w:tcW w:w="14166" w:type="dxa"/>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收入决算表</w:t>
            </w:r>
          </w:p>
        </w:tc>
      </w:tr>
      <w:tr>
        <w:tblPrEx>
          <w:tblCellMar>
            <w:top w:w="0" w:type="dxa"/>
            <w:left w:w="0" w:type="dxa"/>
            <w:bottom w:w="0" w:type="dxa"/>
            <w:right w:w="0" w:type="dxa"/>
          </w:tblCellMar>
        </w:tblPrEx>
        <w:trPr>
          <w:gridAfter w:val="1"/>
          <w:wAfter w:w="8454" w:type="dxa"/>
          <w:trHeight w:val="255" w:hRule="atLeast"/>
        </w:trPr>
        <w:tc>
          <w:tcPr>
            <w:tcW w:w="527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6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gridAfter w:val="1"/>
          <w:wAfter w:w="8454" w:type="dxa"/>
          <w:trHeight w:val="255" w:hRule="atLeast"/>
        </w:trPr>
        <w:tc>
          <w:tcPr>
            <w:tcW w:w="527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编制单位：廊坊市香河县蒋辛屯镇人民政府</w:t>
            </w:r>
          </w:p>
        </w:tc>
        <w:tc>
          <w:tcPr>
            <w:tcW w:w="12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2020年9月</w:t>
            </w:r>
          </w:p>
        </w:tc>
        <w:tc>
          <w:tcPr>
            <w:tcW w:w="106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6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8454" w:type="dxa"/>
          <w:trHeight w:val="308" w:hRule="atLeast"/>
        </w:trPr>
        <w:tc>
          <w:tcPr>
            <w:tcW w:w="527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25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2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76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6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1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40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206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gridAfter w:val="1"/>
          <w:wAfter w:w="8454" w:type="dxa"/>
          <w:trHeight w:val="308" w:hRule="atLeast"/>
        </w:trPr>
        <w:tc>
          <w:tcPr>
            <w:tcW w:w="124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031"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8454" w:type="dxa"/>
          <w:trHeight w:val="308" w:hRule="atLeast"/>
        </w:trPr>
        <w:tc>
          <w:tcPr>
            <w:tcW w:w="124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1"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8454" w:type="dxa"/>
          <w:trHeight w:val="308" w:hRule="atLeast"/>
        </w:trPr>
        <w:tc>
          <w:tcPr>
            <w:tcW w:w="124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1"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8454" w:type="dxa"/>
          <w:trHeight w:val="308" w:hRule="atLeast"/>
        </w:trPr>
        <w:tc>
          <w:tcPr>
            <w:tcW w:w="527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2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06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gridAfter w:val="1"/>
          <w:wAfter w:w="8454" w:type="dxa"/>
          <w:trHeight w:val="308" w:hRule="atLeast"/>
        </w:trPr>
        <w:tc>
          <w:tcPr>
            <w:tcW w:w="527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133,722.67</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133,722.67</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3,037.40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3,037.40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3,037.40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3,037.40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3,037.40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3,037.40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293.29</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293.29</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587"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行政事业单位离退休</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293.29</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293.29</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143.99</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143.99</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149.30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149.30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57.41</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57.41</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56.41</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56.41</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56.41</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56.41</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优抚对象医疗</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2101401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1,166.81</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1,166.81</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1,166.81</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1,166.81</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1,166.81</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1,166.81</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116,913.82</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116,913.82</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城乡社区公共设施</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69,195.00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69,195.00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2120303</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69,195.00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69,195.00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城乡社区环境卫生</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4,630.55</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4,630.55</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4,630.55</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4,630.55</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39,534.60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39,534.60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39,518.58</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39,518.58</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国有土地收益基金及对应专项债务收入安排的支出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2121001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4,058.00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4,058.00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3,116.74</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3,116.74</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2130108</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病虫害控制</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387.58</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387.58</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2130126</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农村公益事业</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2,721.00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2,721.00</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2130152</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对高校毕业生到基层任职补助</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农村综合改革</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941.26</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941.26</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2130705</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603.91</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603.91</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2130799</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其他农村综合改革支出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337.35</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337.35</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2150805</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中小企业发展专项</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8454" w:type="dxa"/>
          <w:trHeight w:val="308" w:hRule="atLeast"/>
        </w:trPr>
        <w:tc>
          <w:tcPr>
            <w:tcW w:w="12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0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2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7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62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r>
        <w:br w:type="page"/>
      </w:r>
    </w:p>
    <w:tbl>
      <w:tblPr>
        <w:tblStyle w:val="6"/>
        <w:tblW w:w="14140" w:type="dxa"/>
        <w:tblInd w:w="-20" w:type="dxa"/>
        <w:shd w:val="clear" w:color="auto" w:fill="auto"/>
        <w:tblLayout w:type="fixed"/>
        <w:tblCellMar>
          <w:top w:w="0" w:type="dxa"/>
          <w:left w:w="0" w:type="dxa"/>
          <w:bottom w:w="0" w:type="dxa"/>
          <w:right w:w="0" w:type="dxa"/>
        </w:tblCellMar>
      </w:tblPr>
      <w:tblGrid>
        <w:gridCol w:w="5"/>
        <w:gridCol w:w="299"/>
        <w:gridCol w:w="299"/>
        <w:gridCol w:w="294"/>
        <w:gridCol w:w="5"/>
        <w:gridCol w:w="3524"/>
        <w:gridCol w:w="5"/>
        <w:gridCol w:w="1613"/>
        <w:gridCol w:w="5"/>
        <w:gridCol w:w="1613"/>
        <w:gridCol w:w="5"/>
        <w:gridCol w:w="1613"/>
        <w:gridCol w:w="5"/>
        <w:gridCol w:w="1613"/>
        <w:gridCol w:w="5"/>
        <w:gridCol w:w="1613"/>
        <w:gridCol w:w="5"/>
        <w:gridCol w:w="1615"/>
        <w:gridCol w:w="4"/>
      </w:tblGrid>
      <w:tr>
        <w:tblPrEx>
          <w:shd w:val="clear" w:color="auto" w:fill="auto"/>
          <w:tblCellMar>
            <w:top w:w="0" w:type="dxa"/>
            <w:left w:w="0" w:type="dxa"/>
            <w:bottom w:w="0" w:type="dxa"/>
            <w:right w:w="0" w:type="dxa"/>
          </w:tblCellMar>
        </w:tblPrEx>
        <w:trPr>
          <w:gridBefore w:val="1"/>
          <w:wBefore w:w="5" w:type="dxa"/>
          <w:trHeight w:val="540" w:hRule="atLeast"/>
        </w:trPr>
        <w:tc>
          <w:tcPr>
            <w:tcW w:w="14135" w:type="dxa"/>
            <w:gridSpan w:val="1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支出决算表</w:t>
            </w:r>
          </w:p>
        </w:tc>
      </w:tr>
      <w:tr>
        <w:tblPrEx>
          <w:tblCellMar>
            <w:top w:w="0" w:type="dxa"/>
            <w:left w:w="0" w:type="dxa"/>
            <w:bottom w:w="0" w:type="dxa"/>
            <w:right w:w="0" w:type="dxa"/>
          </w:tblCellMar>
        </w:tblPrEx>
        <w:trPr>
          <w:gridBefore w:val="1"/>
          <w:wBefore w:w="5" w:type="dxa"/>
          <w:trHeight w:val="255" w:hRule="atLeast"/>
        </w:trPr>
        <w:tc>
          <w:tcPr>
            <w:tcW w:w="29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2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gridBefore w:val="1"/>
          <w:wBefore w:w="5" w:type="dxa"/>
          <w:trHeight w:val="255" w:hRule="atLeast"/>
        </w:trPr>
        <w:tc>
          <w:tcPr>
            <w:tcW w:w="4426"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编制单位：廊坊市香河县蒋辛屯镇人民政府</w:t>
            </w:r>
          </w:p>
        </w:tc>
        <w:tc>
          <w:tcPr>
            <w:tcW w:w="16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8"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2020年9月</w:t>
            </w:r>
          </w:p>
        </w:tc>
        <w:tc>
          <w:tcPr>
            <w:tcW w:w="16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4" w:type="dxa"/>
          <w:trHeight w:val="308" w:hRule="atLeast"/>
        </w:trPr>
        <w:tc>
          <w:tcPr>
            <w:tcW w:w="4426" w:type="dxa"/>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1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61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1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1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61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620"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gridAfter w:val="1"/>
          <w:wAfter w:w="4" w:type="dxa"/>
          <w:trHeight w:val="308" w:hRule="atLeast"/>
        </w:trPr>
        <w:tc>
          <w:tcPr>
            <w:tcW w:w="897" w:type="dxa"/>
            <w:gridSpan w:val="4"/>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529" w:type="dxa"/>
            <w:gridSpan w:val="2"/>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0"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897" w:type="dxa"/>
            <w:gridSpan w:val="4"/>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29"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0"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897" w:type="dxa"/>
            <w:gridSpan w:val="4"/>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29"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0"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4426"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1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1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1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1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1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2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gridAfter w:val="1"/>
          <w:wAfter w:w="4" w:type="dxa"/>
          <w:trHeight w:val="308" w:hRule="atLeast"/>
        </w:trPr>
        <w:tc>
          <w:tcPr>
            <w:tcW w:w="4426"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132,699.46</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4,003.80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128,695.66</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3,012.81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3,012.81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3,012.81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3,012.81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3,012.81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3,012.81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286.21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286.21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286.21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286.21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136.90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136.90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149.30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149.30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57.11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57.11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优抚对象医疗</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2101401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1,163.82</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1,163.82</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1,163.82</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1,163.82</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1,163.82</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1,163.82</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116,911.64</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116,911.64</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城乡社区公共设施</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69,195.00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69,195.00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2120303</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69,195.00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69,195.00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城乡社区环境卫生</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4,628.37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4,628.37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4,628.37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4,628.37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39,534.60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39,534.60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39,518.58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39,518.58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国有土地收益基金及对应专项债务收入安排的支出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2121001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3,071.93</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544.20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2,527.73</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2,422.61</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2,415.38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2130108</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病虫害控制</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387.58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387.58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2130126</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农村公益事业</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2,027.80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2,027.80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2130152</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对高校毕业生到基层任职补助</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农村综合改革</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649.32</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536.98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112.35</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2130705</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536.98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536.98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2130799</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其他农村综合改革支出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112.35</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112.35</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2150805</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中小企业发展专项</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89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wBefore w:w="5" w:type="dxa"/>
          <w:trHeight w:val="308" w:hRule="atLeast"/>
        </w:trPr>
        <w:tc>
          <w:tcPr>
            <w:tcW w:w="14135" w:type="dxa"/>
            <w:gridSpan w:val="1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r>
        <w:br w:type="page"/>
      </w:r>
    </w:p>
    <w:tbl>
      <w:tblPr>
        <w:tblStyle w:val="6"/>
        <w:tblW w:w="14109" w:type="dxa"/>
        <w:tblInd w:w="-20" w:type="dxa"/>
        <w:shd w:val="clear" w:color="auto" w:fill="auto"/>
        <w:tblLayout w:type="fixed"/>
        <w:tblCellMar>
          <w:top w:w="0" w:type="dxa"/>
          <w:left w:w="0" w:type="dxa"/>
          <w:bottom w:w="0" w:type="dxa"/>
          <w:right w:w="0" w:type="dxa"/>
        </w:tblCellMar>
      </w:tblPr>
      <w:tblGrid>
        <w:gridCol w:w="5"/>
        <w:gridCol w:w="3112"/>
        <w:gridCol w:w="5"/>
        <w:gridCol w:w="540"/>
        <w:gridCol w:w="5"/>
        <w:gridCol w:w="1597"/>
        <w:gridCol w:w="5"/>
        <w:gridCol w:w="3484"/>
        <w:gridCol w:w="5"/>
        <w:gridCol w:w="540"/>
        <w:gridCol w:w="5"/>
        <w:gridCol w:w="1597"/>
        <w:gridCol w:w="5"/>
        <w:gridCol w:w="1597"/>
        <w:gridCol w:w="5"/>
        <w:gridCol w:w="1598"/>
        <w:gridCol w:w="4"/>
      </w:tblGrid>
      <w:tr>
        <w:tblPrEx>
          <w:shd w:val="clear" w:color="auto" w:fill="auto"/>
          <w:tblCellMar>
            <w:top w:w="0" w:type="dxa"/>
            <w:left w:w="0" w:type="dxa"/>
            <w:bottom w:w="0" w:type="dxa"/>
            <w:right w:w="0" w:type="dxa"/>
          </w:tblCellMar>
        </w:tblPrEx>
        <w:trPr>
          <w:gridBefore w:val="1"/>
          <w:wBefore w:w="5" w:type="dxa"/>
          <w:trHeight w:val="540" w:hRule="atLeast"/>
        </w:trPr>
        <w:tc>
          <w:tcPr>
            <w:tcW w:w="14104" w:type="dxa"/>
            <w:gridSpan w:val="1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财政拨款收入支出决算总表</w:t>
            </w:r>
          </w:p>
        </w:tc>
      </w:tr>
      <w:tr>
        <w:tblPrEx>
          <w:tblCellMar>
            <w:top w:w="0" w:type="dxa"/>
            <w:left w:w="0" w:type="dxa"/>
            <w:bottom w:w="0" w:type="dxa"/>
            <w:right w:w="0" w:type="dxa"/>
          </w:tblCellMar>
        </w:tblPrEx>
        <w:trPr>
          <w:gridBefore w:val="1"/>
          <w:wBefore w:w="5" w:type="dxa"/>
          <w:trHeight w:val="255" w:hRule="atLeast"/>
        </w:trPr>
        <w:tc>
          <w:tcPr>
            <w:tcW w:w="311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02"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8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02"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02"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0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gridBefore w:val="1"/>
          <w:wBefore w:w="5" w:type="dxa"/>
          <w:trHeight w:val="255" w:hRule="atLeast"/>
        </w:trPr>
        <w:tc>
          <w:tcPr>
            <w:tcW w:w="5264"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编制单位：廊坊市香河县蒋辛屯镇人民政府</w:t>
            </w:r>
          </w:p>
        </w:tc>
        <w:tc>
          <w:tcPr>
            <w:tcW w:w="348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2020年9月</w:t>
            </w:r>
          </w:p>
        </w:tc>
        <w:tc>
          <w:tcPr>
            <w:tcW w:w="54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02"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02"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0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4" w:type="dxa"/>
          <w:trHeight w:val="308" w:hRule="atLeast"/>
        </w:trPr>
        <w:tc>
          <w:tcPr>
            <w:tcW w:w="5264" w:type="dxa"/>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841" w:type="dxa"/>
            <w:gridSpan w:val="10"/>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gridAfter w:val="1"/>
          <w:wAfter w:w="4" w:type="dxa"/>
          <w:trHeight w:val="292" w:hRule="atLeast"/>
        </w:trPr>
        <w:tc>
          <w:tcPr>
            <w:tcW w:w="3117" w:type="dxa"/>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02"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489"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02" w:type="dxa"/>
            <w:gridSpan w:val="2"/>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02"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03"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gridAfter w:val="1"/>
          <w:wAfter w:w="4" w:type="dxa"/>
          <w:trHeight w:val="615" w:hRule="atLeast"/>
        </w:trPr>
        <w:tc>
          <w:tcPr>
            <w:tcW w:w="3117"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2"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89"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2"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2"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3"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2"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2"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2"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03"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90,634.41</w:t>
            </w: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3,012.81</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3,012.81</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43,088.27</w:t>
            </w: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286.21</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286.21</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57.11</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57.11</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1,163.82</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1,163.82</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116,911.64</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73,823.37</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43,088.27</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3,071.93</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3,071.93</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8,092.48</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133,722.67</w:t>
            </w: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132,699.46</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89,611.19</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43,088.27</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37.98</w:t>
            </w: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1,061.19</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1,061.19</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37.98</w:t>
            </w: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31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133,760.65</w:t>
            </w:r>
          </w:p>
        </w:tc>
        <w:tc>
          <w:tcPr>
            <w:tcW w:w="348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133,760.65</w:t>
            </w:r>
          </w:p>
        </w:tc>
        <w:tc>
          <w:tcPr>
            <w:tcW w:w="16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90,672.39</w:t>
            </w:r>
          </w:p>
        </w:tc>
        <w:tc>
          <w:tcPr>
            <w:tcW w:w="16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43,088.27</w:t>
            </w:r>
          </w:p>
        </w:tc>
      </w:tr>
      <w:tr>
        <w:tblPrEx>
          <w:tblCellMar>
            <w:top w:w="0" w:type="dxa"/>
            <w:left w:w="0" w:type="dxa"/>
            <w:bottom w:w="0" w:type="dxa"/>
            <w:right w:w="0" w:type="dxa"/>
          </w:tblCellMar>
        </w:tblPrEx>
        <w:trPr>
          <w:gridBefore w:val="1"/>
          <w:wBefore w:w="5" w:type="dxa"/>
          <w:trHeight w:val="308" w:hRule="atLeast"/>
        </w:trPr>
        <w:tc>
          <w:tcPr>
            <w:tcW w:w="14104"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
      <w:r>
        <w:br w:type="page"/>
      </w:r>
    </w:p>
    <w:tbl>
      <w:tblPr>
        <w:tblStyle w:val="6"/>
        <w:tblW w:w="14078" w:type="dxa"/>
        <w:tblInd w:w="-20" w:type="dxa"/>
        <w:shd w:val="clear" w:color="auto" w:fill="auto"/>
        <w:tblLayout w:type="fixed"/>
        <w:tblCellMar>
          <w:top w:w="0" w:type="dxa"/>
          <w:left w:w="0" w:type="dxa"/>
          <w:bottom w:w="0" w:type="dxa"/>
          <w:right w:w="0" w:type="dxa"/>
        </w:tblCellMar>
      </w:tblPr>
      <w:tblGrid>
        <w:gridCol w:w="5"/>
        <w:gridCol w:w="561"/>
        <w:gridCol w:w="5"/>
        <w:gridCol w:w="2683"/>
        <w:gridCol w:w="5"/>
        <w:gridCol w:w="1371"/>
        <w:gridCol w:w="5"/>
        <w:gridCol w:w="561"/>
        <w:gridCol w:w="5"/>
        <w:gridCol w:w="2113"/>
        <w:gridCol w:w="5"/>
        <w:gridCol w:w="1371"/>
        <w:gridCol w:w="5"/>
        <w:gridCol w:w="561"/>
        <w:gridCol w:w="5"/>
        <w:gridCol w:w="3436"/>
        <w:gridCol w:w="5"/>
        <w:gridCol w:w="1372"/>
        <w:gridCol w:w="4"/>
      </w:tblGrid>
      <w:tr>
        <w:tblPrEx>
          <w:shd w:val="clear" w:color="auto" w:fill="auto"/>
          <w:tblCellMar>
            <w:top w:w="0" w:type="dxa"/>
            <w:left w:w="0" w:type="dxa"/>
            <w:bottom w:w="0" w:type="dxa"/>
            <w:right w:w="0" w:type="dxa"/>
          </w:tblCellMar>
        </w:tblPrEx>
        <w:trPr>
          <w:gridBefore w:val="1"/>
          <w:wBefore w:w="5" w:type="dxa"/>
          <w:trHeight w:val="540" w:hRule="atLeast"/>
        </w:trPr>
        <w:tc>
          <w:tcPr>
            <w:tcW w:w="14073" w:type="dxa"/>
            <w:gridSpan w:val="1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一般公共预算财政拨款基本支出决算表</w:t>
            </w:r>
          </w:p>
        </w:tc>
      </w:tr>
      <w:tr>
        <w:tblPrEx>
          <w:tblCellMar>
            <w:top w:w="0" w:type="dxa"/>
            <w:left w:w="0" w:type="dxa"/>
            <w:bottom w:w="0" w:type="dxa"/>
            <w:right w:w="0" w:type="dxa"/>
          </w:tblCellMar>
        </w:tblPrEx>
        <w:trPr>
          <w:gridBefore w:val="1"/>
          <w:wBefore w:w="5" w:type="dxa"/>
          <w:trHeight w:val="255" w:hRule="atLeast"/>
        </w:trPr>
        <w:tc>
          <w:tcPr>
            <w:tcW w:w="56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8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7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6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7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6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41"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76"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gridBefore w:val="1"/>
          <w:wBefore w:w="5" w:type="dxa"/>
          <w:trHeight w:val="255" w:hRule="atLeast"/>
        </w:trPr>
        <w:tc>
          <w:tcPr>
            <w:tcW w:w="4630"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编制单位：廊坊市香河县蒋辛屯镇人民政府</w:t>
            </w:r>
          </w:p>
        </w:tc>
        <w:tc>
          <w:tcPr>
            <w:tcW w:w="56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18"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2020年9月</w:t>
            </w:r>
          </w:p>
        </w:tc>
        <w:tc>
          <w:tcPr>
            <w:tcW w:w="137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6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41"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76"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4" w:type="dxa"/>
          <w:trHeight w:val="308" w:hRule="atLeast"/>
        </w:trPr>
        <w:tc>
          <w:tcPr>
            <w:tcW w:w="4630" w:type="dxa"/>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444" w:type="dxa"/>
            <w:gridSpan w:val="12"/>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gridAfter w:val="1"/>
          <w:wAfter w:w="4" w:type="dxa"/>
          <w:trHeight w:val="308" w:hRule="atLeast"/>
        </w:trPr>
        <w:tc>
          <w:tcPr>
            <w:tcW w:w="566" w:type="dxa"/>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688"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76"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66"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118"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76"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66"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441"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77"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gridAfter w:val="1"/>
          <w:wAfter w:w="4" w:type="dxa"/>
          <w:trHeight w:val="308" w:hRule="atLeast"/>
        </w:trPr>
        <w:tc>
          <w:tcPr>
            <w:tcW w:w="566"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88"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6"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6"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18"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6"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6"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41"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7"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2,050.62</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1,091.07</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625.89</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53.07</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402.34</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360.63</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206.54</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20.76</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137.02</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29.94</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19.32</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66.40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56.41</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15.89</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103.47</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37.06</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317.64</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655.56</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149.30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472.76</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366.97</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11.46</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32.79</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55.21</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566"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8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118"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219.07</w:t>
            </w:r>
          </w:p>
        </w:tc>
        <w:tc>
          <w:tcPr>
            <w:tcW w:w="566"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4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3254"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3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2,706.18</w:t>
            </w:r>
          </w:p>
        </w:tc>
        <w:tc>
          <w:tcPr>
            <w:tcW w:w="8067" w:type="dxa"/>
            <w:gridSpan w:val="10"/>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3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1,297.61</w:t>
            </w:r>
          </w:p>
        </w:tc>
      </w:tr>
      <w:tr>
        <w:tblPrEx>
          <w:tblCellMar>
            <w:top w:w="0" w:type="dxa"/>
            <w:left w:w="0" w:type="dxa"/>
            <w:bottom w:w="0" w:type="dxa"/>
            <w:right w:w="0" w:type="dxa"/>
          </w:tblCellMar>
        </w:tblPrEx>
        <w:trPr>
          <w:gridBefore w:val="1"/>
          <w:wBefore w:w="5" w:type="dxa"/>
          <w:trHeight w:val="308" w:hRule="atLeast"/>
        </w:trPr>
        <w:tc>
          <w:tcPr>
            <w:tcW w:w="14073" w:type="dxa"/>
            <w:gridSpan w:val="1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r>
        <w:br w:type="page"/>
      </w:r>
    </w:p>
    <w:tbl>
      <w:tblPr>
        <w:tblStyle w:val="6"/>
        <w:tblW w:w="14047" w:type="dxa"/>
        <w:tblInd w:w="-20" w:type="dxa"/>
        <w:shd w:val="clear" w:color="auto" w:fill="auto"/>
        <w:tblLayout w:type="fixed"/>
        <w:tblCellMar>
          <w:top w:w="0" w:type="dxa"/>
          <w:left w:w="0" w:type="dxa"/>
          <w:bottom w:w="0" w:type="dxa"/>
          <w:right w:w="0" w:type="dxa"/>
        </w:tblCellMar>
      </w:tblPr>
      <w:tblGrid>
        <w:gridCol w:w="5"/>
        <w:gridCol w:w="1165"/>
        <w:gridCol w:w="5"/>
        <w:gridCol w:w="1165"/>
        <w:gridCol w:w="5"/>
        <w:gridCol w:w="1165"/>
        <w:gridCol w:w="5"/>
        <w:gridCol w:w="1165"/>
        <w:gridCol w:w="5"/>
        <w:gridCol w:w="1165"/>
        <w:gridCol w:w="5"/>
        <w:gridCol w:w="1165"/>
        <w:gridCol w:w="5"/>
        <w:gridCol w:w="1165"/>
        <w:gridCol w:w="5"/>
        <w:gridCol w:w="1165"/>
        <w:gridCol w:w="5"/>
        <w:gridCol w:w="1165"/>
        <w:gridCol w:w="5"/>
        <w:gridCol w:w="1165"/>
        <w:gridCol w:w="5"/>
        <w:gridCol w:w="1166"/>
        <w:gridCol w:w="4"/>
        <w:gridCol w:w="1168"/>
        <w:gridCol w:w="4"/>
      </w:tblGrid>
      <w:tr>
        <w:tblPrEx>
          <w:shd w:val="clear" w:color="auto" w:fill="auto"/>
          <w:tblCellMar>
            <w:top w:w="0" w:type="dxa"/>
            <w:left w:w="0" w:type="dxa"/>
            <w:bottom w:w="0" w:type="dxa"/>
            <w:right w:w="0" w:type="dxa"/>
          </w:tblCellMar>
        </w:tblPrEx>
        <w:trPr>
          <w:gridBefore w:val="1"/>
          <w:wBefore w:w="5" w:type="dxa"/>
          <w:trHeight w:val="540" w:hRule="atLeast"/>
        </w:trPr>
        <w:tc>
          <w:tcPr>
            <w:tcW w:w="14042" w:type="dxa"/>
            <w:gridSpan w:val="24"/>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gridBefore w:val="1"/>
          <w:wBefore w:w="5" w:type="dxa"/>
          <w:trHeight w:val="255" w:hRule="atLeast"/>
        </w:trPr>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gridBefore w:val="1"/>
          <w:wBefore w:w="5" w:type="dxa"/>
          <w:trHeight w:val="255" w:hRule="atLeast"/>
        </w:trPr>
        <w:tc>
          <w:tcPr>
            <w:tcW w:w="4680" w:type="dxa"/>
            <w:gridSpan w:val="8"/>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编制单位：廊坊市香河县蒋辛屯镇人民政府</w:t>
            </w: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2020年9月</w:t>
            </w: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7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4" w:type="dxa"/>
          <w:trHeight w:val="308" w:hRule="atLeast"/>
        </w:trPr>
        <w:tc>
          <w:tcPr>
            <w:tcW w:w="7020" w:type="dxa"/>
            <w:gridSpan w:val="12"/>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023" w:type="dxa"/>
            <w:gridSpan w:val="12"/>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gridAfter w:val="1"/>
          <w:wAfter w:w="4" w:type="dxa"/>
          <w:trHeight w:val="308" w:hRule="atLeast"/>
        </w:trPr>
        <w:tc>
          <w:tcPr>
            <w:tcW w:w="1170" w:type="dxa"/>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70"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510" w:type="dxa"/>
            <w:gridSpan w:val="6"/>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70"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70"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70"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511" w:type="dxa"/>
            <w:gridSpan w:val="6"/>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72"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gridAfter w:val="1"/>
          <w:wAfter w:w="4" w:type="dxa"/>
          <w:trHeight w:val="615" w:hRule="atLeast"/>
        </w:trPr>
        <w:tc>
          <w:tcPr>
            <w:tcW w:w="1170"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7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71"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72"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4" w:type="dxa"/>
          <w:trHeight w:val="308" w:hRule="atLeast"/>
        </w:trPr>
        <w:tc>
          <w:tcPr>
            <w:tcW w:w="1170"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71"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72"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gridAfter w:val="1"/>
          <w:wAfter w:w="4" w:type="dxa"/>
          <w:trHeight w:val="308" w:hRule="atLeast"/>
        </w:trPr>
        <w:tc>
          <w:tcPr>
            <w:tcW w:w="117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12.20</w:t>
            </w:r>
          </w:p>
        </w:tc>
        <w:tc>
          <w:tcPr>
            <w:tcW w:w="11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12.20</w:t>
            </w:r>
          </w:p>
        </w:tc>
        <w:tc>
          <w:tcPr>
            <w:tcW w:w="11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12.20</w:t>
            </w:r>
          </w:p>
        </w:tc>
        <w:tc>
          <w:tcPr>
            <w:tcW w:w="11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11.46</w:t>
            </w:r>
          </w:p>
        </w:tc>
        <w:tc>
          <w:tcPr>
            <w:tcW w:w="11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11.46</w:t>
            </w:r>
          </w:p>
        </w:tc>
        <w:tc>
          <w:tcPr>
            <w:tcW w:w="11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11.46</w:t>
            </w:r>
          </w:p>
        </w:tc>
        <w:tc>
          <w:tcPr>
            <w:tcW w:w="11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wBefore w:w="5" w:type="dxa"/>
          <w:trHeight w:val="615" w:hRule="atLeast"/>
        </w:trPr>
        <w:tc>
          <w:tcPr>
            <w:tcW w:w="14042" w:type="dxa"/>
            <w:gridSpan w:val="2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
        <w:tab/>
      </w:r>
      <w:r>
        <w:tab/>
      </w:r>
      <w:r>
        <w:tab/>
      </w:r>
      <w:r>
        <w:tab/>
      </w:r>
      <w:r>
        <w:tab/>
      </w:r>
      <w:r>
        <w:tab/>
      </w:r>
      <w:r>
        <w:tab/>
      </w:r>
      <w:r>
        <w:tab/>
      </w:r>
      <w:r>
        <w:br w:type="page"/>
      </w:r>
    </w:p>
    <w:tbl>
      <w:tblPr>
        <w:tblStyle w:val="6"/>
        <w:tblW w:w="14017" w:type="dxa"/>
        <w:tblInd w:w="-20" w:type="dxa"/>
        <w:shd w:val="clear" w:color="auto" w:fill="auto"/>
        <w:tblLayout w:type="fixed"/>
        <w:tblCellMar>
          <w:top w:w="0" w:type="dxa"/>
          <w:left w:w="0" w:type="dxa"/>
          <w:bottom w:w="0" w:type="dxa"/>
          <w:right w:w="0" w:type="dxa"/>
        </w:tblCellMar>
      </w:tblPr>
      <w:tblGrid>
        <w:gridCol w:w="5"/>
        <w:gridCol w:w="310"/>
        <w:gridCol w:w="310"/>
        <w:gridCol w:w="305"/>
        <w:gridCol w:w="5"/>
        <w:gridCol w:w="3663"/>
        <w:gridCol w:w="5"/>
        <w:gridCol w:w="1564"/>
        <w:gridCol w:w="5"/>
        <w:gridCol w:w="1564"/>
        <w:gridCol w:w="5"/>
        <w:gridCol w:w="1564"/>
        <w:gridCol w:w="5"/>
        <w:gridCol w:w="1564"/>
        <w:gridCol w:w="5"/>
        <w:gridCol w:w="1564"/>
        <w:gridCol w:w="5"/>
        <w:gridCol w:w="1564"/>
        <w:gridCol w:w="5"/>
      </w:tblGrid>
      <w:tr>
        <w:tblPrEx>
          <w:shd w:val="clear" w:color="auto" w:fill="auto"/>
          <w:tblCellMar>
            <w:top w:w="0" w:type="dxa"/>
            <w:left w:w="0" w:type="dxa"/>
            <w:bottom w:w="0" w:type="dxa"/>
            <w:right w:w="0" w:type="dxa"/>
          </w:tblCellMar>
        </w:tblPrEx>
        <w:trPr>
          <w:gridBefore w:val="1"/>
          <w:wBefore w:w="5" w:type="dxa"/>
          <w:trHeight w:val="540" w:hRule="atLeast"/>
        </w:trPr>
        <w:tc>
          <w:tcPr>
            <w:tcW w:w="14012" w:type="dxa"/>
            <w:gridSpan w:val="1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政府性基金预算财政拨款收入支出决算表</w:t>
            </w:r>
          </w:p>
        </w:tc>
      </w:tr>
      <w:tr>
        <w:tblPrEx>
          <w:tblCellMar>
            <w:top w:w="0" w:type="dxa"/>
            <w:left w:w="0" w:type="dxa"/>
            <w:bottom w:w="0" w:type="dxa"/>
            <w:right w:w="0" w:type="dxa"/>
          </w:tblCellMar>
        </w:tblPrEx>
        <w:trPr>
          <w:gridBefore w:val="1"/>
          <w:wBefore w:w="5" w:type="dxa"/>
          <w:trHeight w:val="255" w:hRule="atLeast"/>
        </w:trPr>
        <w:tc>
          <w:tcPr>
            <w:tcW w:w="3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1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6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gridBefore w:val="1"/>
          <w:wBefore w:w="5" w:type="dxa"/>
          <w:trHeight w:val="255" w:hRule="atLeast"/>
        </w:trPr>
        <w:tc>
          <w:tcPr>
            <w:tcW w:w="4598"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编制单位：廊坊市香河县蒋辛屯镇人民政府</w:t>
            </w: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2020年9月</w:t>
            </w: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5" w:type="dxa"/>
          <w:trHeight w:val="308" w:hRule="atLeast"/>
        </w:trPr>
        <w:tc>
          <w:tcPr>
            <w:tcW w:w="4598" w:type="dxa"/>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69"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569"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707"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569"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gridAfter w:val="1"/>
          <w:wAfter w:w="5" w:type="dxa"/>
          <w:trHeight w:val="308" w:hRule="atLeast"/>
        </w:trPr>
        <w:tc>
          <w:tcPr>
            <w:tcW w:w="930" w:type="dxa"/>
            <w:gridSpan w:val="4"/>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668" w:type="dxa"/>
            <w:gridSpan w:val="2"/>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69"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9"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69"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69"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5" w:type="dxa"/>
          <w:trHeight w:val="308" w:hRule="atLeast"/>
        </w:trPr>
        <w:tc>
          <w:tcPr>
            <w:tcW w:w="930" w:type="dxa"/>
            <w:gridSpan w:val="4"/>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8"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5" w:type="dxa"/>
          <w:trHeight w:val="308" w:hRule="atLeast"/>
        </w:trPr>
        <w:tc>
          <w:tcPr>
            <w:tcW w:w="930" w:type="dxa"/>
            <w:gridSpan w:val="4"/>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8"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5" w:type="dxa"/>
          <w:trHeight w:val="308" w:hRule="atLeast"/>
        </w:trPr>
        <w:tc>
          <w:tcPr>
            <w:tcW w:w="4598"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6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6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6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6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gridAfter w:val="1"/>
          <w:wAfter w:w="5" w:type="dxa"/>
          <w:trHeight w:val="308" w:hRule="atLeast"/>
        </w:trPr>
        <w:tc>
          <w:tcPr>
            <w:tcW w:w="4598"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43,088.27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43,088.27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43,088.27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 w:type="dxa"/>
          <w:trHeight w:val="308" w:hRule="atLeast"/>
        </w:trPr>
        <w:tc>
          <w:tcPr>
            <w:tcW w:w="9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6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43,088.27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43,088.27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43,088.27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 w:type="dxa"/>
          <w:trHeight w:val="308" w:hRule="atLeast"/>
        </w:trPr>
        <w:tc>
          <w:tcPr>
            <w:tcW w:w="9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6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39,534.60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39,534.60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39,534.60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 w:type="dxa"/>
          <w:trHeight w:val="308" w:hRule="atLeast"/>
        </w:trPr>
        <w:tc>
          <w:tcPr>
            <w:tcW w:w="9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2120801</w:t>
            </w:r>
          </w:p>
        </w:tc>
        <w:tc>
          <w:tcPr>
            <w:tcW w:w="36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39,518.58</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39,518.58</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39,518.58</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 w:type="dxa"/>
          <w:trHeight w:val="308" w:hRule="atLeast"/>
        </w:trPr>
        <w:tc>
          <w:tcPr>
            <w:tcW w:w="9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36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 w:type="dxa"/>
          <w:trHeight w:val="308" w:hRule="atLeast"/>
        </w:trPr>
        <w:tc>
          <w:tcPr>
            <w:tcW w:w="9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w:t>
            </w:r>
          </w:p>
        </w:tc>
        <w:tc>
          <w:tcPr>
            <w:tcW w:w="36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国有土地收益基金及对应专项债务收入安排的支出</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 w:type="dxa"/>
          <w:trHeight w:val="308" w:hRule="atLeast"/>
        </w:trPr>
        <w:tc>
          <w:tcPr>
            <w:tcW w:w="9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2121001</w:t>
            </w:r>
          </w:p>
        </w:tc>
        <w:tc>
          <w:tcPr>
            <w:tcW w:w="36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3,553.67</w:t>
            </w: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 w:type="dxa"/>
          <w:trHeight w:val="308" w:hRule="atLeast"/>
        </w:trPr>
        <w:tc>
          <w:tcPr>
            <w:tcW w:w="9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5" w:type="dxa"/>
          <w:trHeight w:val="308" w:hRule="atLeast"/>
        </w:trPr>
        <w:tc>
          <w:tcPr>
            <w:tcW w:w="9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5" w:type="dxa"/>
          <w:trHeight w:val="308" w:hRule="atLeast"/>
        </w:trPr>
        <w:tc>
          <w:tcPr>
            <w:tcW w:w="9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6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wBefore w:w="5" w:type="dxa"/>
          <w:trHeight w:val="308" w:hRule="atLeast"/>
        </w:trPr>
        <w:tc>
          <w:tcPr>
            <w:tcW w:w="14012" w:type="dxa"/>
            <w:gridSpan w:val="1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r>
        <w:br w:type="page"/>
      </w:r>
    </w:p>
    <w:tbl>
      <w:tblPr>
        <w:tblStyle w:val="6"/>
        <w:tblW w:w="11750" w:type="dxa"/>
        <w:tblInd w:w="-20" w:type="dxa"/>
        <w:shd w:val="clear" w:color="auto" w:fill="auto"/>
        <w:tblLayout w:type="fixed"/>
        <w:tblCellMar>
          <w:top w:w="0" w:type="dxa"/>
          <w:left w:w="0" w:type="dxa"/>
          <w:bottom w:w="0" w:type="dxa"/>
          <w:right w:w="0" w:type="dxa"/>
        </w:tblCellMar>
      </w:tblPr>
      <w:tblGrid>
        <w:gridCol w:w="5"/>
        <w:gridCol w:w="585"/>
        <w:gridCol w:w="600"/>
        <w:gridCol w:w="520"/>
        <w:gridCol w:w="5"/>
        <w:gridCol w:w="4630"/>
        <w:gridCol w:w="5"/>
        <w:gridCol w:w="1795"/>
        <w:gridCol w:w="5"/>
        <w:gridCol w:w="1795"/>
        <w:gridCol w:w="5"/>
        <w:gridCol w:w="1795"/>
        <w:gridCol w:w="5"/>
      </w:tblGrid>
      <w:tr>
        <w:tblPrEx>
          <w:shd w:val="clear" w:color="auto" w:fill="auto"/>
          <w:tblCellMar>
            <w:top w:w="0" w:type="dxa"/>
            <w:left w:w="0" w:type="dxa"/>
            <w:bottom w:w="0" w:type="dxa"/>
            <w:right w:w="0" w:type="dxa"/>
          </w:tblCellMar>
        </w:tblPrEx>
        <w:trPr>
          <w:gridBefore w:val="1"/>
          <w:wBefore w:w="5" w:type="dxa"/>
          <w:trHeight w:val="540" w:hRule="atLeast"/>
        </w:trPr>
        <w:tc>
          <w:tcPr>
            <w:tcW w:w="11745" w:type="dxa"/>
            <w:gridSpan w:val="1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国有资本经营预算财政拨款支出决算表</w:t>
            </w:r>
          </w:p>
        </w:tc>
      </w:tr>
      <w:tr>
        <w:tblPrEx>
          <w:tblCellMar>
            <w:top w:w="0" w:type="dxa"/>
            <w:left w:w="0" w:type="dxa"/>
            <w:bottom w:w="0" w:type="dxa"/>
            <w:right w:w="0" w:type="dxa"/>
          </w:tblCellMar>
        </w:tblPrEx>
        <w:trPr>
          <w:gridBefore w:val="1"/>
          <w:wBefore w:w="5" w:type="dxa"/>
          <w:trHeight w:val="255" w:hRule="atLeast"/>
        </w:trPr>
        <w:tc>
          <w:tcPr>
            <w:tcW w:w="5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2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3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gridBefore w:val="1"/>
          <w:wBefore w:w="5" w:type="dxa"/>
          <w:trHeight w:val="255" w:hRule="atLeast"/>
        </w:trPr>
        <w:tc>
          <w:tcPr>
            <w:tcW w:w="1710"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编制单位：廊坊市香河县蒋辛屯镇人民政府</w:t>
            </w:r>
          </w:p>
        </w:tc>
        <w:tc>
          <w:tcPr>
            <w:tcW w:w="463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2020年9月</w:t>
            </w:r>
          </w:p>
        </w:tc>
        <w:tc>
          <w:tcPr>
            <w:tcW w:w="180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5" w:type="dxa"/>
          <w:trHeight w:val="308" w:hRule="atLeast"/>
        </w:trPr>
        <w:tc>
          <w:tcPr>
            <w:tcW w:w="6345" w:type="dxa"/>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5400"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gridAfter w:val="1"/>
          <w:wAfter w:w="5" w:type="dxa"/>
          <w:trHeight w:val="615" w:hRule="atLeast"/>
        </w:trPr>
        <w:tc>
          <w:tcPr>
            <w:tcW w:w="1710"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6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80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0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gridAfter w:val="1"/>
          <w:wAfter w:w="5" w:type="dxa"/>
          <w:trHeight w:val="308" w:hRule="atLeast"/>
        </w:trPr>
        <w:tc>
          <w:tcPr>
            <w:tcW w:w="6345"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0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0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gridAfter w:val="1"/>
          <w:wAfter w:w="5" w:type="dxa"/>
          <w:trHeight w:val="308" w:hRule="atLeast"/>
        </w:trPr>
        <w:tc>
          <w:tcPr>
            <w:tcW w:w="6345"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 w:type="dxa"/>
          <w:trHeight w:val="308" w:hRule="atLeast"/>
        </w:trPr>
        <w:tc>
          <w:tcPr>
            <w:tcW w:w="17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5" w:type="dxa"/>
          <w:trHeight w:val="308" w:hRule="atLeast"/>
        </w:trPr>
        <w:tc>
          <w:tcPr>
            <w:tcW w:w="17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5" w:type="dxa"/>
          <w:trHeight w:val="308" w:hRule="atLeast"/>
        </w:trPr>
        <w:tc>
          <w:tcPr>
            <w:tcW w:w="17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5" w:type="dxa"/>
          <w:trHeight w:val="308" w:hRule="atLeast"/>
        </w:trPr>
        <w:tc>
          <w:tcPr>
            <w:tcW w:w="17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5" w:type="dxa"/>
          <w:trHeight w:val="308" w:hRule="atLeast"/>
        </w:trPr>
        <w:tc>
          <w:tcPr>
            <w:tcW w:w="17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5" w:type="dxa"/>
          <w:trHeight w:val="308" w:hRule="atLeast"/>
        </w:trPr>
        <w:tc>
          <w:tcPr>
            <w:tcW w:w="17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wBefore w:w="5" w:type="dxa"/>
          <w:trHeight w:val="308" w:hRule="atLeast"/>
        </w:trPr>
        <w:tc>
          <w:tcPr>
            <w:tcW w:w="1174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注：本表反映部门本年度国有资本经营预算财政拨款支出情况。本部门本年度无相关支出情况，按要求以空表列示。</w:t>
            </w:r>
          </w:p>
        </w:tc>
      </w:tr>
    </w:tbl>
    <w:p>
      <w:r>
        <w:br w:type="page"/>
      </w:r>
    </w:p>
    <w:p>
      <w:r>
        <mc:AlternateContent>
          <mc:Choice Requires="wps">
            <w:drawing>
              <wp:anchor distT="0" distB="0" distL="114300" distR="114300" simplePos="0" relativeHeight="437187584"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187584;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9" w:type="first"/>
      <w:headerReference r:id="rId28" w:type="default"/>
      <w:footerReference r:id="rId30" w:type="default"/>
      <w:pgSz w:w="16838" w:h="11906" w:orient="landscape"/>
      <w:pgMar w:top="1417" w:right="1701" w:bottom="1417" w:left="128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___WRD_EMBED_SUB_39">
    <w:altName w:val="Segoe Print"/>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78C1413D"/>
    <w:multiLevelType w:val="singleLevel"/>
    <w:tmpl w:val="78C1413D"/>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A7223"/>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56F17D2"/>
    <w:rsid w:val="05B00A30"/>
    <w:rsid w:val="077926BE"/>
    <w:rsid w:val="0B011416"/>
    <w:rsid w:val="0DCE3B23"/>
    <w:rsid w:val="143C6D8B"/>
    <w:rsid w:val="1C882E95"/>
    <w:rsid w:val="2A6E0830"/>
    <w:rsid w:val="2D693E46"/>
    <w:rsid w:val="31C2036A"/>
    <w:rsid w:val="320D02A5"/>
    <w:rsid w:val="32294534"/>
    <w:rsid w:val="348E566F"/>
    <w:rsid w:val="349525FA"/>
    <w:rsid w:val="3A226944"/>
    <w:rsid w:val="3A9B2733"/>
    <w:rsid w:val="3AEE6A48"/>
    <w:rsid w:val="3C1620AA"/>
    <w:rsid w:val="3D714A2D"/>
    <w:rsid w:val="3D8F080F"/>
    <w:rsid w:val="43B957CC"/>
    <w:rsid w:val="44B64987"/>
    <w:rsid w:val="44CE1FA4"/>
    <w:rsid w:val="487F73ED"/>
    <w:rsid w:val="4A347EAE"/>
    <w:rsid w:val="4ACF3FB1"/>
    <w:rsid w:val="4B2B2EF2"/>
    <w:rsid w:val="51F00799"/>
    <w:rsid w:val="52600405"/>
    <w:rsid w:val="529B4319"/>
    <w:rsid w:val="54FD6A79"/>
    <w:rsid w:val="57773DD6"/>
    <w:rsid w:val="578B79AB"/>
    <w:rsid w:val="59F46ABE"/>
    <w:rsid w:val="5AF6099A"/>
    <w:rsid w:val="5B3F47B0"/>
    <w:rsid w:val="5C0914C0"/>
    <w:rsid w:val="5CCD3FD5"/>
    <w:rsid w:val="5DF8106B"/>
    <w:rsid w:val="6082313D"/>
    <w:rsid w:val="61FA5F9D"/>
    <w:rsid w:val="64CD6910"/>
    <w:rsid w:val="6789158D"/>
    <w:rsid w:val="67D81BA4"/>
    <w:rsid w:val="68CD3E06"/>
    <w:rsid w:val="6AAF1C96"/>
    <w:rsid w:val="6B9E1246"/>
    <w:rsid w:val="6CCE550A"/>
    <w:rsid w:val="72C629DD"/>
    <w:rsid w:val="75681757"/>
    <w:rsid w:val="75A346A8"/>
    <w:rsid w:val="79B9382C"/>
    <w:rsid w:val="7B043B76"/>
    <w:rsid w:val="7B992DC7"/>
    <w:rsid w:val="7C041A6A"/>
    <w:rsid w:val="7CA962ED"/>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chart" Target="charts/chart5.xml"/><Relationship Id="rId36" Type="http://schemas.openxmlformats.org/officeDocument/2006/relationships/chart" Target="charts/chart4.xml"/><Relationship Id="rId35" Type="http://schemas.openxmlformats.org/officeDocument/2006/relationships/chart" Target="charts/chart3.xml"/><Relationship Id="rId34" Type="http://schemas.openxmlformats.org/officeDocument/2006/relationships/chart" Target="charts/chart2.xml"/><Relationship Id="rId33" Type="http://schemas.openxmlformats.org/officeDocument/2006/relationships/chart" Target="charts/chart1.xml"/><Relationship Id="rId32" Type="http://schemas.openxmlformats.org/officeDocument/2006/relationships/image" Target="media/image2.bmp"/><Relationship Id="rId31" Type="http://schemas.openxmlformats.org/officeDocument/2006/relationships/theme" Target="theme/theme1.xml"/><Relationship Id="rId30" Type="http://schemas.openxmlformats.org/officeDocument/2006/relationships/footer" Target="footer11.xml"/><Relationship Id="rId3" Type="http://schemas.openxmlformats.org/officeDocument/2006/relationships/header" Target="header1.xml"/><Relationship Id="rId29" Type="http://schemas.openxmlformats.org/officeDocument/2006/relationships/header" Target="header17.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explosion val="0"/>
          <c:dPt>
            <c:idx val="0"/>
            <c:bubble3D val="0"/>
          </c:dPt>
          <c:dPt>
            <c:idx val="1"/>
            <c:bubble3D val="0"/>
          </c:dPt>
          <c:dPt>
            <c:idx val="2"/>
            <c:bubble3D val="0"/>
          </c:dPt>
          <c:dPt>
            <c:idx val="3"/>
            <c:bubble3D val="0"/>
          </c:dPt>
          <c:dLbls>
            <c:delete val="1"/>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10</c:v>
                </c:pt>
                <c:pt idx="1">
                  <c:v>0</c:v>
                </c:pt>
                <c:pt idx="2">
                  <c:v>0</c:v>
                </c:pt>
                <c:pt idx="3">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支出决算结构饼状图</c:v>
                </c:pt>
              </c:strCache>
            </c:strRef>
          </c:tx>
          <c:explosion val="0"/>
          <c:dPt>
            <c:idx val="0"/>
            <c:bubble3D val="0"/>
          </c:dPt>
          <c:dPt>
            <c:idx val="1"/>
            <c:bubble3D val="0"/>
          </c:dPt>
          <c:dPt>
            <c:idx val="2"/>
            <c:bubble3D val="0"/>
          </c:dPt>
          <c:dLbls>
            <c:delete val="1"/>
          </c:dLbls>
          <c:cat>
            <c:strRef>
              <c:f>Sheet1!$A$2:$A$4</c:f>
              <c:strCache>
                <c:ptCount val="3"/>
                <c:pt idx="0">
                  <c:v>基本支出</c:v>
                </c:pt>
                <c:pt idx="1">
                  <c:v>项目支出</c:v>
                </c:pt>
                <c:pt idx="2">
                  <c:v>经营支出</c:v>
                </c:pt>
              </c:strCache>
            </c:strRef>
          </c:cat>
          <c:val>
            <c:numRef>
              <c:f>Sheet1!$B$2:$B$4</c:f>
              <c:numCache>
                <c:formatCode>General</c:formatCode>
                <c:ptCount val="3"/>
                <c:pt idx="0">
                  <c:v>0.302</c:v>
                </c:pt>
                <c:pt idx="1">
                  <c:v>9.698</c:v>
                </c:pt>
                <c:pt idx="2">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64846416382253"/>
          <c:y val="0.450769230769231"/>
          <c:w val="0.131740614334471"/>
          <c:h val="0.30239316239316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2018年度（万元）</c:v>
                </c:pt>
              </c:strCache>
            </c:strRef>
          </c:tx>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108271.55</c:v>
                </c:pt>
                <c:pt idx="1">
                  <c:v>108199.51</c:v>
                </c:pt>
              </c:numCache>
            </c:numRef>
          </c:val>
        </c:ser>
        <c:ser>
          <c:idx val="1"/>
          <c:order val="1"/>
          <c:tx>
            <c:strRef>
              <c:f>Sheet1!$C$1</c:f>
              <c:strCache>
                <c:ptCount val="1"/>
                <c:pt idx="0">
                  <c:v>2019年度（万元）</c:v>
                </c:pt>
              </c:strCache>
            </c:strRef>
          </c:tx>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132699.46</c:v>
                </c:pt>
                <c:pt idx="1">
                  <c:v>132699.46</c:v>
                </c:pt>
              </c:numCache>
            </c:numRef>
          </c:val>
        </c:ser>
        <c:dLbls>
          <c:showLegendKey val="0"/>
          <c:showVal val="0"/>
          <c:showCatName val="0"/>
          <c:showSerName val="0"/>
          <c:showPercent val="0"/>
          <c:showBubbleSize val="0"/>
        </c:dLbls>
        <c:gapWidth val="150"/>
        <c:axId val="367472640"/>
        <c:axId val="367475712"/>
      </c:barChart>
      <c:catAx>
        <c:axId val="3674726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67475712"/>
        <c:crosses val="autoZero"/>
        <c:auto val="1"/>
        <c:lblAlgn val="ctr"/>
        <c:lblOffset val="100"/>
        <c:noMultiLvlLbl val="0"/>
      </c:catAx>
      <c:valAx>
        <c:axId val="3674757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674726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预算（万元）</c:v>
                </c:pt>
              </c:strCache>
            </c:strRef>
          </c:tx>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10705.76</c:v>
                </c:pt>
                <c:pt idx="1">
                  <c:v>10705.76</c:v>
                </c:pt>
              </c:numCache>
            </c:numRef>
          </c:val>
        </c:ser>
        <c:ser>
          <c:idx val="1"/>
          <c:order val="1"/>
          <c:tx>
            <c:strRef>
              <c:f>Sheet1!$C$1</c:f>
              <c:strCache>
                <c:ptCount val="1"/>
                <c:pt idx="0">
                  <c:v>决算（万元）</c:v>
                </c:pt>
              </c:strCache>
            </c:strRef>
          </c:tx>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132699.46</c:v>
                </c:pt>
                <c:pt idx="1">
                  <c:v>108199.51</c:v>
                </c:pt>
              </c:numCache>
            </c:numRef>
          </c:val>
        </c:ser>
        <c:dLbls>
          <c:showLegendKey val="0"/>
          <c:showVal val="0"/>
          <c:showCatName val="0"/>
          <c:showSerName val="0"/>
          <c:showPercent val="0"/>
          <c:showBubbleSize val="0"/>
        </c:dLbls>
        <c:gapWidth val="150"/>
        <c:axId val="368920448"/>
        <c:axId val="368921984"/>
      </c:barChart>
      <c:catAx>
        <c:axId val="3689204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68921984"/>
        <c:crosses val="autoZero"/>
        <c:auto val="1"/>
        <c:lblAlgn val="ctr"/>
        <c:lblOffset val="100"/>
        <c:noMultiLvlLbl val="0"/>
      </c:catAx>
      <c:valAx>
        <c:axId val="3689219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689204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财政拨款支出决算</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elete val="1"/>
          </c:dLbls>
          <c:cat>
            <c:strRef>
              <c:f>Sheet1!$A$2:$A$9</c:f>
              <c:strCache>
                <c:ptCount val="8"/>
                <c:pt idx="0">
                  <c:v>一般公共服务支出</c:v>
                </c:pt>
                <c:pt idx="1">
                  <c:v>社会保障和就业支出</c:v>
                </c:pt>
                <c:pt idx="2">
                  <c:v>住房保障支出</c:v>
                </c:pt>
                <c:pt idx="3">
                  <c:v>医疗卫生与计划生育支出</c:v>
                </c:pt>
                <c:pt idx="4">
                  <c:v>节能环保支出</c:v>
                </c:pt>
                <c:pt idx="5">
                  <c:v>农林水支出</c:v>
                </c:pt>
                <c:pt idx="6">
                  <c:v>资源勘探信息等支出</c:v>
                </c:pt>
                <c:pt idx="7">
                  <c:v>城乡社区支出</c:v>
                </c:pt>
              </c:strCache>
            </c:strRef>
          </c:cat>
          <c:val>
            <c:numRef>
              <c:f>Sheet1!$B$2:$B$9</c:f>
              <c:numCache>
                <c:formatCode>General</c:formatCode>
                <c:ptCount val="8"/>
                <c:pt idx="0">
                  <c:v>2.27</c:v>
                </c:pt>
                <c:pt idx="1">
                  <c:v>0.22</c:v>
                </c:pt>
                <c:pt idx="2">
                  <c:v>0.08</c:v>
                </c:pt>
                <c:pt idx="3">
                  <c:v>0.04</c:v>
                </c:pt>
                <c:pt idx="4">
                  <c:v>0.88</c:v>
                </c:pt>
                <c:pt idx="5">
                  <c:v>2.31</c:v>
                </c:pt>
                <c:pt idx="6">
                  <c:v>6.1</c:v>
                </c:pt>
                <c:pt idx="7">
                  <c:v>88.1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4</TotalTime>
  <ScaleCrop>false</ScaleCrop>
  <LinksUpToDate>false</LinksUpToDate>
  <CharactersWithSpaces>11119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婉</cp:lastModifiedBy>
  <cp:lastPrinted>2020-09-30T01:34:00Z</cp:lastPrinted>
  <dcterms:modified xsi:type="dcterms:W3CDTF">2021-05-26T03:00:42Z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